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C7ECA" w14:textId="0EDE3055" w:rsidR="00AC762B" w:rsidRPr="00DE0579" w:rsidRDefault="00AC762B" w:rsidP="00DE0579">
      <w:pPr>
        <w:pStyle w:val="Heading1"/>
        <w:ind w:left="-567"/>
        <w:rPr>
          <w:b/>
          <w:bCs/>
        </w:rPr>
      </w:pPr>
      <w:r w:rsidRPr="00DE0579">
        <w:rPr>
          <w:b/>
          <w:bCs/>
        </w:rPr>
        <w:t xml:space="preserve">ASA </w:t>
      </w:r>
      <w:r w:rsidR="00684AC7" w:rsidRPr="00DE0579">
        <w:rPr>
          <w:b/>
          <w:bCs/>
        </w:rPr>
        <w:t>2026/27</w:t>
      </w:r>
      <w:r w:rsidR="00684AC7">
        <w:rPr>
          <w:b/>
          <w:bCs/>
        </w:rPr>
        <w:t xml:space="preserve"> </w:t>
      </w:r>
      <w:r w:rsidRPr="00DE0579">
        <w:rPr>
          <w:b/>
          <w:bCs/>
        </w:rPr>
        <w:t xml:space="preserve">Policy Priorities </w:t>
      </w:r>
    </w:p>
    <w:p w14:paraId="177441F4" w14:textId="77777777" w:rsidR="003D68E6" w:rsidRPr="003D68E6" w:rsidRDefault="003D68E6" w:rsidP="00DE0579">
      <w:pPr>
        <w:ind w:left="-567"/>
        <w:rPr>
          <w:sz w:val="24"/>
          <w:szCs w:val="24"/>
        </w:rPr>
      </w:pPr>
      <w:r w:rsidRPr="003D68E6">
        <w:rPr>
          <w:sz w:val="24"/>
          <w:szCs w:val="24"/>
        </w:rPr>
        <w:t>The Australian Shareholders’ Association (ASA) is Australia’s largest independent, not-for-profit shareholder association. For over 65 years, ASA has advocated for individual investors, stronger shareholder rights and better corporate governance.</w:t>
      </w:r>
    </w:p>
    <w:p w14:paraId="6212DE58" w14:textId="77777777" w:rsidR="003D68E6" w:rsidRPr="003D68E6" w:rsidRDefault="003D68E6" w:rsidP="00DE0579">
      <w:pPr>
        <w:ind w:left="-567"/>
        <w:rPr>
          <w:sz w:val="24"/>
          <w:szCs w:val="24"/>
        </w:rPr>
      </w:pPr>
      <w:r w:rsidRPr="003D68E6">
        <w:rPr>
          <w:sz w:val="24"/>
          <w:szCs w:val="24"/>
        </w:rPr>
        <w:t>Through our national network of investor groups, advocacy and engagement with ASX-listed companies, we promote the interests of retail shareholders across Australia.</w:t>
      </w:r>
    </w:p>
    <w:p w14:paraId="08E8B25C" w14:textId="77777777" w:rsidR="003D68E6" w:rsidRPr="003D68E6" w:rsidRDefault="003D68E6" w:rsidP="00DE0579">
      <w:pPr>
        <w:ind w:left="-567"/>
        <w:rPr>
          <w:sz w:val="24"/>
          <w:szCs w:val="24"/>
        </w:rPr>
      </w:pPr>
      <w:r w:rsidRPr="003D68E6">
        <w:rPr>
          <w:sz w:val="24"/>
          <w:szCs w:val="24"/>
        </w:rPr>
        <w:t>Australia has a substantial community of individual investors. According to the ASX Australian Investor Study, 7.7 million Australians hold on-exchange investments. ASA believes more Australians should have the confidence and opportunity to invest in Australian businesses.</w:t>
      </w:r>
    </w:p>
    <w:p w14:paraId="620F2579" w14:textId="77777777" w:rsidR="003D68E6" w:rsidRPr="003D68E6" w:rsidRDefault="003D68E6" w:rsidP="00DE0579">
      <w:pPr>
        <w:ind w:left="-567"/>
        <w:rPr>
          <w:sz w:val="24"/>
          <w:szCs w:val="24"/>
        </w:rPr>
      </w:pPr>
      <w:r w:rsidRPr="003D68E6">
        <w:rPr>
          <w:sz w:val="24"/>
          <w:szCs w:val="24"/>
        </w:rPr>
        <w:t>When Australians invest, they build financial security for themselves and their families. Their savings also provide capital that helps businesses innovate, grow, create jobs and improve Australia’s productivity.</w:t>
      </w:r>
    </w:p>
    <w:p w14:paraId="7A1D79AE" w14:textId="77777777" w:rsidR="003D68E6" w:rsidRPr="003D68E6" w:rsidRDefault="003D68E6" w:rsidP="00DE0579">
      <w:pPr>
        <w:ind w:left="-567"/>
        <w:rPr>
          <w:sz w:val="24"/>
          <w:szCs w:val="24"/>
        </w:rPr>
      </w:pPr>
      <w:r w:rsidRPr="003D68E6">
        <w:rPr>
          <w:sz w:val="24"/>
          <w:szCs w:val="24"/>
        </w:rPr>
        <w:t>Informed and engaged retail investors strengthen Australia’s capital markets and the broader economy. Good public policy should make investing simpler, fairer and better supported over the long term. That means stable rules, strong shareholder rights, fair access to investment opportunities, transparent markets and the knowledge people need to make informed decisions.</w:t>
      </w:r>
    </w:p>
    <w:p w14:paraId="75D49A3D" w14:textId="64BE2712" w:rsidR="00AC762B" w:rsidRPr="003D68E6" w:rsidRDefault="003D68E6" w:rsidP="00DE0579">
      <w:pPr>
        <w:ind w:left="-567"/>
        <w:rPr>
          <w:sz w:val="24"/>
          <w:szCs w:val="24"/>
        </w:rPr>
      </w:pPr>
      <w:r w:rsidRPr="003D68E6">
        <w:rPr>
          <w:sz w:val="24"/>
          <w:szCs w:val="24"/>
        </w:rPr>
        <w:t xml:space="preserve">Financial </w:t>
      </w:r>
      <w:r>
        <w:rPr>
          <w:sz w:val="24"/>
          <w:szCs w:val="24"/>
        </w:rPr>
        <w:t>capability</w:t>
      </w:r>
      <w:r w:rsidRPr="003D68E6">
        <w:rPr>
          <w:sz w:val="24"/>
          <w:szCs w:val="24"/>
        </w:rPr>
        <w:t xml:space="preserve"> builds confidence. Confidence encourages participation. Long-term participation helps Australians build wealth, support a more secure retirement and contribute to a stronger Australian economy.</w:t>
      </w:r>
    </w:p>
    <w:p w14:paraId="782E0E58" w14:textId="77777777" w:rsidR="00AC762B" w:rsidRPr="00DE0579" w:rsidRDefault="00AC762B" w:rsidP="00DE0579">
      <w:pPr>
        <w:pStyle w:val="Heading2"/>
        <w:ind w:left="-567"/>
        <w:rPr>
          <w:b/>
          <w:bCs/>
        </w:rPr>
      </w:pPr>
      <w:r w:rsidRPr="00DE0579">
        <w:rPr>
          <w:b/>
          <w:bCs/>
        </w:rPr>
        <w:t>What ASA is calling for</w:t>
      </w:r>
    </w:p>
    <w:p w14:paraId="19E92D4C" w14:textId="77777777" w:rsidR="00AC762B" w:rsidRPr="00AC762B" w:rsidRDefault="00AC762B" w:rsidP="00DE0579">
      <w:pPr>
        <w:ind w:left="-567"/>
        <w:rPr>
          <w:sz w:val="24"/>
          <w:szCs w:val="28"/>
        </w:rPr>
      </w:pPr>
      <w:r w:rsidRPr="00AC762B">
        <w:rPr>
          <w:sz w:val="24"/>
          <w:szCs w:val="28"/>
        </w:rPr>
        <w:t>ASA calls on governments, regulators and listed companies to create an investment environment where Australians can invest with confidence.</w:t>
      </w:r>
    </w:p>
    <w:p w14:paraId="217B82AB" w14:textId="77777777" w:rsidR="00AC762B" w:rsidRPr="00AC762B" w:rsidRDefault="00AC762B" w:rsidP="00DE0579">
      <w:pPr>
        <w:ind w:left="-567"/>
        <w:rPr>
          <w:sz w:val="24"/>
          <w:szCs w:val="28"/>
        </w:rPr>
      </w:pPr>
      <w:r w:rsidRPr="00AC762B">
        <w:rPr>
          <w:sz w:val="24"/>
          <w:szCs w:val="28"/>
        </w:rPr>
        <w:t>We support policies that:</w:t>
      </w:r>
    </w:p>
    <w:p w14:paraId="1A50AD98"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encourage long-term investment and economic growth</w:t>
      </w:r>
    </w:p>
    <w:p w14:paraId="24206109"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provide stable and predictable tax, superannuation and investment settings</w:t>
      </w:r>
    </w:p>
    <w:p w14:paraId="09374E52"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give retail investors fair access and equitable treatment in Australia's capital markets</w:t>
      </w:r>
    </w:p>
    <w:p w14:paraId="29C44E2C"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strengthen shareholder rights and company accountability</w:t>
      </w:r>
    </w:p>
    <w:p w14:paraId="6AF7B22B" w14:textId="0ECC61CF" w:rsidR="00AC762B" w:rsidRPr="00AC762B" w:rsidRDefault="00AC762B" w:rsidP="00DE0579">
      <w:pPr>
        <w:numPr>
          <w:ilvl w:val="0"/>
          <w:numId w:val="15"/>
        </w:numPr>
        <w:spacing w:before="0" w:after="160" w:line="278" w:lineRule="auto"/>
        <w:ind w:left="142"/>
        <w:rPr>
          <w:sz w:val="24"/>
          <w:szCs w:val="28"/>
        </w:rPr>
      </w:pPr>
      <w:r w:rsidRPr="00AC762B">
        <w:rPr>
          <w:sz w:val="24"/>
          <w:szCs w:val="28"/>
        </w:rPr>
        <w:t xml:space="preserve">improve financial </w:t>
      </w:r>
      <w:r w:rsidR="003D68E6">
        <w:rPr>
          <w:sz w:val="24"/>
          <w:szCs w:val="28"/>
        </w:rPr>
        <w:t>capability</w:t>
      </w:r>
      <w:r w:rsidRPr="00AC762B">
        <w:rPr>
          <w:sz w:val="24"/>
          <w:szCs w:val="28"/>
        </w:rPr>
        <w:t>, investor protection and informed decision-making</w:t>
      </w:r>
    </w:p>
    <w:p w14:paraId="3B7B00B3" w14:textId="77777777" w:rsidR="00AC762B" w:rsidRPr="00AC762B" w:rsidRDefault="00AC762B" w:rsidP="00DE0579">
      <w:pPr>
        <w:numPr>
          <w:ilvl w:val="0"/>
          <w:numId w:val="15"/>
        </w:numPr>
        <w:spacing w:before="0" w:after="160" w:line="278" w:lineRule="auto"/>
        <w:ind w:left="142"/>
        <w:rPr>
          <w:sz w:val="24"/>
          <w:szCs w:val="28"/>
        </w:rPr>
      </w:pPr>
      <w:r w:rsidRPr="00AC762B">
        <w:rPr>
          <w:sz w:val="24"/>
          <w:szCs w:val="28"/>
        </w:rPr>
        <w:t>build confidence in Australia's capital markets</w:t>
      </w:r>
    </w:p>
    <w:p w14:paraId="78D6AE36" w14:textId="77777777" w:rsidR="00AC762B" w:rsidRDefault="00AC762B" w:rsidP="00DE0579">
      <w:pPr>
        <w:ind w:left="142"/>
      </w:pPr>
    </w:p>
    <w:p w14:paraId="5EE64FFE" w14:textId="77777777" w:rsidR="00AC762B" w:rsidRPr="00DE0579" w:rsidRDefault="00AC762B" w:rsidP="00DE0579">
      <w:pPr>
        <w:pStyle w:val="Heading2"/>
        <w:ind w:left="-567"/>
        <w:rPr>
          <w:b/>
          <w:bCs/>
        </w:rPr>
      </w:pPr>
      <w:r w:rsidRPr="00DE0579">
        <w:rPr>
          <w:b/>
          <w:bCs/>
        </w:rPr>
        <w:t>Priority 1</w:t>
      </w:r>
    </w:p>
    <w:p w14:paraId="44979F36" w14:textId="77777777" w:rsidR="00AC762B" w:rsidRPr="00DE0579" w:rsidRDefault="00AC762B" w:rsidP="00DE0579">
      <w:pPr>
        <w:pStyle w:val="Heading3"/>
        <w:ind w:left="-567"/>
        <w:rPr>
          <w:b/>
          <w:bCs/>
        </w:rPr>
      </w:pPr>
      <w:r w:rsidRPr="00DE0579">
        <w:rPr>
          <w:b/>
          <w:bCs/>
        </w:rPr>
        <w:t>Make long-term investing easier and more rewarding</w:t>
      </w:r>
    </w:p>
    <w:p w14:paraId="07C3AF97" w14:textId="77777777" w:rsidR="00AC762B" w:rsidRPr="00AC762B" w:rsidRDefault="00AC762B" w:rsidP="00DE0579">
      <w:pPr>
        <w:ind w:left="-567"/>
        <w:rPr>
          <w:sz w:val="24"/>
          <w:szCs w:val="28"/>
        </w:rPr>
      </w:pPr>
      <w:r w:rsidRPr="00AC762B">
        <w:rPr>
          <w:sz w:val="24"/>
          <w:szCs w:val="28"/>
        </w:rPr>
        <w:t>Australians are more likely to invest when the rules are stable, predictable and designed for the long term.</w:t>
      </w:r>
    </w:p>
    <w:p w14:paraId="7933E694" w14:textId="77777777" w:rsidR="00AC762B" w:rsidRPr="00AC762B" w:rsidRDefault="00AC762B" w:rsidP="00DE0579">
      <w:pPr>
        <w:ind w:left="-567"/>
        <w:rPr>
          <w:sz w:val="24"/>
          <w:szCs w:val="28"/>
        </w:rPr>
      </w:pPr>
      <w:r w:rsidRPr="00AC762B">
        <w:rPr>
          <w:sz w:val="24"/>
          <w:szCs w:val="28"/>
        </w:rPr>
        <w:t>ASA is calling for:</w:t>
      </w:r>
    </w:p>
    <w:p w14:paraId="5721BAD8"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Stable tax and superannuation settings that allow investors to plan confidently for the future.</w:t>
      </w:r>
    </w:p>
    <w:p w14:paraId="46FF063C" w14:textId="7CFBBBD1" w:rsidR="00AC762B" w:rsidRPr="00C01B8D" w:rsidRDefault="00AC762B" w:rsidP="00DE0579">
      <w:pPr>
        <w:numPr>
          <w:ilvl w:val="0"/>
          <w:numId w:val="16"/>
        </w:numPr>
        <w:spacing w:before="0" w:after="160" w:line="278" w:lineRule="auto"/>
        <w:ind w:left="142"/>
        <w:rPr>
          <w:sz w:val="24"/>
          <w:szCs w:val="28"/>
        </w:rPr>
      </w:pPr>
      <w:r w:rsidRPr="00AC762B">
        <w:rPr>
          <w:sz w:val="24"/>
          <w:szCs w:val="28"/>
        </w:rPr>
        <w:t>Major policy changes to be assessed for their impact on investor confidence, retirement savings and investment in Australian businesses.</w:t>
      </w:r>
    </w:p>
    <w:p w14:paraId="409EF467"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Simpler regulation that removes unnecessary complexity without weakening investor protections.</w:t>
      </w:r>
    </w:p>
    <w:p w14:paraId="2D12EDA2"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Recognition that retail investors are an important source of long-term capital for Australian companies.</w:t>
      </w:r>
    </w:p>
    <w:p w14:paraId="4A332E00"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Policies that support Australians to invest throughout their working lives, including outside superannuation, and into retirement.</w:t>
      </w:r>
    </w:p>
    <w:p w14:paraId="2878A126" w14:textId="77777777" w:rsidR="00AC762B" w:rsidRPr="00AC762B" w:rsidRDefault="00AC762B" w:rsidP="00DE0579">
      <w:pPr>
        <w:numPr>
          <w:ilvl w:val="0"/>
          <w:numId w:val="16"/>
        </w:numPr>
        <w:spacing w:before="0" w:after="160" w:line="278" w:lineRule="auto"/>
        <w:ind w:left="142"/>
        <w:rPr>
          <w:sz w:val="24"/>
          <w:szCs w:val="28"/>
        </w:rPr>
      </w:pPr>
      <w:r w:rsidRPr="00AC762B">
        <w:rPr>
          <w:sz w:val="24"/>
          <w:szCs w:val="28"/>
        </w:rPr>
        <w:t>Policy settings that encourage productive investment, innovation, business growth and improved productivity.</w:t>
      </w:r>
    </w:p>
    <w:p w14:paraId="36CAFEE7" w14:textId="77777777" w:rsidR="00AC762B" w:rsidRPr="00DE0579" w:rsidRDefault="00AC762B" w:rsidP="00DE0579">
      <w:pPr>
        <w:pStyle w:val="Heading3"/>
        <w:ind w:left="-567"/>
        <w:rPr>
          <w:b/>
          <w:bCs/>
          <w:szCs w:val="28"/>
        </w:rPr>
      </w:pPr>
      <w:r w:rsidRPr="00DE0579">
        <w:rPr>
          <w:b/>
          <w:bCs/>
          <w:szCs w:val="28"/>
        </w:rPr>
        <w:t xml:space="preserve">Why it </w:t>
      </w:r>
      <w:r w:rsidRPr="00DE0579">
        <w:rPr>
          <w:b/>
          <w:bCs/>
        </w:rPr>
        <w:t>matters</w:t>
      </w:r>
    </w:p>
    <w:p w14:paraId="24A1C46D" w14:textId="77777777" w:rsidR="00AC762B" w:rsidRPr="00AC762B" w:rsidRDefault="00AC762B" w:rsidP="00DE0579">
      <w:pPr>
        <w:ind w:left="-567"/>
        <w:rPr>
          <w:sz w:val="24"/>
          <w:szCs w:val="28"/>
        </w:rPr>
      </w:pPr>
      <w:r w:rsidRPr="00AC762B">
        <w:rPr>
          <w:sz w:val="24"/>
          <w:szCs w:val="28"/>
        </w:rPr>
        <w:t>Stable and predictable policy settings give Australians greater confidence to invest. Greater investment provides businesses with the capital they need to innovate, expand, employ people and grow the economy.</w:t>
      </w:r>
    </w:p>
    <w:p w14:paraId="6CF961A3" w14:textId="77777777" w:rsidR="00AC762B" w:rsidRPr="00AC762B" w:rsidRDefault="00AC762B" w:rsidP="00DE0579">
      <w:pPr>
        <w:ind w:left="-567"/>
        <w:rPr>
          <w:b/>
          <w:bCs/>
          <w:sz w:val="24"/>
          <w:szCs w:val="28"/>
        </w:rPr>
      </w:pPr>
    </w:p>
    <w:p w14:paraId="36239477" w14:textId="77777777" w:rsidR="00AC762B" w:rsidRPr="00DE0579" w:rsidRDefault="00AC762B" w:rsidP="00DE0579">
      <w:pPr>
        <w:pStyle w:val="Heading2"/>
        <w:ind w:left="-567"/>
        <w:rPr>
          <w:b/>
          <w:bCs/>
        </w:rPr>
      </w:pPr>
      <w:r w:rsidRPr="00DE0579">
        <w:rPr>
          <w:b/>
          <w:bCs/>
        </w:rPr>
        <w:t>Priority 2</w:t>
      </w:r>
    </w:p>
    <w:p w14:paraId="0E036297" w14:textId="77777777" w:rsidR="00AC762B" w:rsidRPr="00DE0579" w:rsidRDefault="00AC762B" w:rsidP="00DE0579">
      <w:pPr>
        <w:pStyle w:val="Heading3"/>
        <w:ind w:left="-567"/>
        <w:rPr>
          <w:b/>
          <w:bCs/>
        </w:rPr>
      </w:pPr>
      <w:r w:rsidRPr="00DE0579">
        <w:rPr>
          <w:b/>
          <w:bCs/>
        </w:rPr>
        <w:t>Give retail investors equitable access and treatment</w:t>
      </w:r>
    </w:p>
    <w:p w14:paraId="32E9E7AA" w14:textId="77777777" w:rsidR="00AC762B" w:rsidRPr="00AC762B" w:rsidRDefault="00AC762B" w:rsidP="00DE0579">
      <w:pPr>
        <w:ind w:left="-567"/>
        <w:rPr>
          <w:sz w:val="24"/>
          <w:szCs w:val="28"/>
        </w:rPr>
      </w:pPr>
      <w:r w:rsidRPr="00AC762B">
        <w:rPr>
          <w:sz w:val="24"/>
          <w:szCs w:val="28"/>
        </w:rPr>
        <w:t>Retail shareholders should have the same opportunity as larger investors to participate in Australia's capital markets.</w:t>
      </w:r>
    </w:p>
    <w:p w14:paraId="5269300F" w14:textId="77777777" w:rsidR="00AC762B" w:rsidRPr="00AC762B" w:rsidRDefault="00AC762B" w:rsidP="00DE0579">
      <w:pPr>
        <w:ind w:left="-567"/>
        <w:rPr>
          <w:sz w:val="24"/>
          <w:szCs w:val="28"/>
        </w:rPr>
      </w:pPr>
      <w:r w:rsidRPr="00AC762B">
        <w:rPr>
          <w:sz w:val="24"/>
          <w:szCs w:val="28"/>
        </w:rPr>
        <w:t>ASA is calling for:</w:t>
      </w:r>
    </w:p>
    <w:p w14:paraId="28659E58"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Fair and equitable access to IPOs, capital raisings and other investment opportunities.</w:t>
      </w:r>
    </w:p>
    <w:p w14:paraId="5D786936"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Equal treatment of retail shareholders during corporate actions and market processes.</w:t>
      </w:r>
    </w:p>
    <w:p w14:paraId="6F693540"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lastRenderedPageBreak/>
        <w:t>Clear, timely and easy-to-understand company disclosures on financial performance, governance, remuneration and material risks.</w:t>
      </w:r>
    </w:p>
    <w:p w14:paraId="322CC306"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Market practices that remove unnecessary barriers to retail participation.</w:t>
      </w:r>
    </w:p>
    <w:p w14:paraId="7A4290DF" w14:textId="77777777" w:rsidR="00AC762B" w:rsidRPr="00AC762B" w:rsidRDefault="00AC762B" w:rsidP="00DE0579">
      <w:pPr>
        <w:numPr>
          <w:ilvl w:val="0"/>
          <w:numId w:val="17"/>
        </w:numPr>
        <w:spacing w:before="0" w:after="160" w:line="278" w:lineRule="auto"/>
        <w:ind w:left="142"/>
        <w:rPr>
          <w:sz w:val="24"/>
          <w:szCs w:val="28"/>
        </w:rPr>
      </w:pPr>
      <w:r w:rsidRPr="00AC762B">
        <w:rPr>
          <w:sz w:val="24"/>
          <w:szCs w:val="28"/>
        </w:rPr>
        <w:t>Recognition that retail investors are long-term owners who contribute to strong and resilient capital markets.</w:t>
      </w:r>
    </w:p>
    <w:p w14:paraId="66BCB717" w14:textId="77777777" w:rsidR="00AC762B" w:rsidRPr="00DE0579" w:rsidRDefault="00AC762B" w:rsidP="00DE0579">
      <w:pPr>
        <w:pStyle w:val="Heading3"/>
        <w:ind w:left="-567"/>
        <w:rPr>
          <w:b/>
          <w:bCs/>
        </w:rPr>
      </w:pPr>
      <w:r w:rsidRPr="00DE0579">
        <w:rPr>
          <w:b/>
          <w:bCs/>
        </w:rPr>
        <w:t>Why it matters</w:t>
      </w:r>
    </w:p>
    <w:p w14:paraId="70C8E5C3" w14:textId="77777777" w:rsidR="00AC762B" w:rsidRPr="00AC762B" w:rsidRDefault="00AC762B" w:rsidP="00DE0579">
      <w:pPr>
        <w:ind w:left="-567"/>
        <w:rPr>
          <w:sz w:val="24"/>
          <w:szCs w:val="28"/>
        </w:rPr>
      </w:pPr>
      <w:r w:rsidRPr="00AC762B">
        <w:rPr>
          <w:sz w:val="24"/>
          <w:szCs w:val="28"/>
        </w:rPr>
        <w:t>Fair access and transparency strengthen confidence, encourage participation and create deeper capital markets that benefit companies, shareholders and the broader economy.</w:t>
      </w:r>
    </w:p>
    <w:p w14:paraId="66236612" w14:textId="77777777" w:rsidR="00AC762B" w:rsidRDefault="00AC762B" w:rsidP="00DE0579">
      <w:pPr>
        <w:ind w:left="-567"/>
      </w:pPr>
    </w:p>
    <w:p w14:paraId="770FA0AB" w14:textId="77777777" w:rsidR="00AC762B" w:rsidRPr="00DE0579" w:rsidRDefault="00AC762B" w:rsidP="00DE0579">
      <w:pPr>
        <w:pStyle w:val="Heading2"/>
        <w:ind w:left="-567"/>
        <w:rPr>
          <w:b/>
          <w:bCs/>
        </w:rPr>
      </w:pPr>
      <w:r w:rsidRPr="00DE0579">
        <w:rPr>
          <w:b/>
          <w:bCs/>
        </w:rPr>
        <w:t>Priority 3</w:t>
      </w:r>
    </w:p>
    <w:p w14:paraId="2D93C20C" w14:textId="77777777" w:rsidR="00AC762B" w:rsidRPr="00DE0579" w:rsidRDefault="00AC762B" w:rsidP="00DE0579">
      <w:pPr>
        <w:pStyle w:val="Heading3"/>
        <w:ind w:left="-567"/>
        <w:rPr>
          <w:b/>
          <w:bCs/>
        </w:rPr>
      </w:pPr>
      <w:r w:rsidRPr="00DE0579">
        <w:rPr>
          <w:b/>
          <w:bCs/>
        </w:rPr>
        <w:t>Strengthen shareholder rights and company accountability</w:t>
      </w:r>
    </w:p>
    <w:p w14:paraId="18881F01" w14:textId="77777777" w:rsidR="00AC762B" w:rsidRPr="00AC762B" w:rsidRDefault="00AC762B" w:rsidP="00DE0579">
      <w:pPr>
        <w:ind w:left="-567"/>
        <w:rPr>
          <w:sz w:val="24"/>
          <w:szCs w:val="28"/>
        </w:rPr>
      </w:pPr>
      <w:r w:rsidRPr="00AC762B">
        <w:rPr>
          <w:sz w:val="24"/>
          <w:szCs w:val="28"/>
        </w:rPr>
        <w:t>Good governance protects investors and helps companies deliver better long-term performance.</w:t>
      </w:r>
    </w:p>
    <w:p w14:paraId="391A1845" w14:textId="77777777" w:rsidR="00AC762B" w:rsidRPr="00AC762B" w:rsidRDefault="00AC762B" w:rsidP="00DE0579">
      <w:pPr>
        <w:ind w:left="-567"/>
        <w:rPr>
          <w:sz w:val="24"/>
          <w:szCs w:val="28"/>
        </w:rPr>
      </w:pPr>
      <w:r w:rsidRPr="00AC762B">
        <w:rPr>
          <w:sz w:val="24"/>
          <w:szCs w:val="28"/>
        </w:rPr>
        <w:t>ASA is calling for:</w:t>
      </w:r>
    </w:p>
    <w:p w14:paraId="3921DDAB"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Hybrid AGMs as the standard so all shareholders can participate, regardless of location.</w:t>
      </w:r>
    </w:p>
    <w:p w14:paraId="6341B15A"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Better disclosure about individual director skills, performance, succession planning and board capability.</w:t>
      </w:r>
    </w:p>
    <w:p w14:paraId="6A3DA76E"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Executive remuneration frameworks that reward sustainable long-term performance rather than short-term outcomes.</w:t>
      </w:r>
    </w:p>
    <w:p w14:paraId="5A4D09B7" w14:textId="77777777" w:rsidR="00AC762B" w:rsidRPr="00AC762B" w:rsidRDefault="00AC762B" w:rsidP="00DE0579">
      <w:pPr>
        <w:numPr>
          <w:ilvl w:val="0"/>
          <w:numId w:val="18"/>
        </w:numPr>
        <w:spacing w:before="0" w:after="160" w:line="278" w:lineRule="auto"/>
        <w:ind w:left="142"/>
        <w:rPr>
          <w:sz w:val="24"/>
          <w:szCs w:val="28"/>
        </w:rPr>
      </w:pPr>
      <w:r w:rsidRPr="00AC762B">
        <w:rPr>
          <w:sz w:val="24"/>
          <w:szCs w:val="28"/>
        </w:rPr>
        <w:t>Clear reporting on company strategy, material risks and key business decisions.</w:t>
      </w:r>
    </w:p>
    <w:p w14:paraId="728FBFD1" w14:textId="553F1FF3" w:rsidR="00AC762B" w:rsidRPr="00DE0579" w:rsidRDefault="00AC762B" w:rsidP="00DE0579">
      <w:pPr>
        <w:numPr>
          <w:ilvl w:val="0"/>
          <w:numId w:val="18"/>
        </w:numPr>
        <w:spacing w:before="0" w:after="160" w:line="278" w:lineRule="auto"/>
        <w:ind w:left="142"/>
        <w:rPr>
          <w:sz w:val="24"/>
          <w:szCs w:val="28"/>
        </w:rPr>
      </w:pPr>
      <w:r w:rsidRPr="00AC762B">
        <w:rPr>
          <w:sz w:val="24"/>
          <w:szCs w:val="28"/>
        </w:rPr>
        <w:t>Greater transparency and accountability between boards, executives and shareholders.</w:t>
      </w:r>
    </w:p>
    <w:p w14:paraId="0FBEAFBD" w14:textId="77777777" w:rsidR="00AC762B" w:rsidRPr="00DE0579" w:rsidRDefault="00AC762B" w:rsidP="00DE0579">
      <w:pPr>
        <w:pStyle w:val="Heading3"/>
        <w:ind w:left="-567"/>
        <w:rPr>
          <w:b/>
          <w:bCs/>
        </w:rPr>
      </w:pPr>
      <w:r w:rsidRPr="00DE0579">
        <w:rPr>
          <w:b/>
          <w:bCs/>
        </w:rPr>
        <w:t>Why it matters</w:t>
      </w:r>
    </w:p>
    <w:p w14:paraId="21688E0C" w14:textId="53905646" w:rsidR="00AC762B" w:rsidRPr="00AC762B" w:rsidRDefault="00AC762B" w:rsidP="00DE0579">
      <w:pPr>
        <w:ind w:left="-567"/>
        <w:rPr>
          <w:sz w:val="24"/>
          <w:szCs w:val="28"/>
        </w:rPr>
      </w:pPr>
      <w:r w:rsidRPr="00AC762B">
        <w:rPr>
          <w:sz w:val="24"/>
          <w:szCs w:val="28"/>
        </w:rPr>
        <w:t xml:space="preserve">Strong governance improves decision-making, supports sustainable company performance and gives </w:t>
      </w:r>
      <w:r w:rsidR="00DE0579" w:rsidRPr="00AC762B">
        <w:rPr>
          <w:sz w:val="24"/>
          <w:szCs w:val="28"/>
        </w:rPr>
        <w:t>investors’</w:t>
      </w:r>
      <w:r w:rsidRPr="00AC762B">
        <w:rPr>
          <w:sz w:val="24"/>
          <w:szCs w:val="28"/>
        </w:rPr>
        <w:t xml:space="preserve"> confidence that companies are being managed in the long-term interests of shareholders.</w:t>
      </w:r>
    </w:p>
    <w:p w14:paraId="431E3887" w14:textId="77777777" w:rsidR="00AC762B" w:rsidRPr="00AC762B" w:rsidRDefault="00AC762B" w:rsidP="00DE0579">
      <w:pPr>
        <w:ind w:left="-567"/>
        <w:rPr>
          <w:sz w:val="24"/>
          <w:szCs w:val="28"/>
        </w:rPr>
      </w:pPr>
    </w:p>
    <w:p w14:paraId="796B6888" w14:textId="77777777" w:rsidR="00AC762B" w:rsidRPr="00DE0579" w:rsidRDefault="00AC762B" w:rsidP="00DE0579">
      <w:pPr>
        <w:pStyle w:val="Heading2"/>
        <w:ind w:left="-567"/>
        <w:rPr>
          <w:b/>
          <w:bCs/>
        </w:rPr>
      </w:pPr>
      <w:r w:rsidRPr="00DE0579">
        <w:rPr>
          <w:b/>
          <w:bCs/>
        </w:rPr>
        <w:lastRenderedPageBreak/>
        <w:t>Priority 4</w:t>
      </w:r>
    </w:p>
    <w:p w14:paraId="28963347" w14:textId="77777777" w:rsidR="00AC762B" w:rsidRPr="00DE0579" w:rsidRDefault="00AC762B" w:rsidP="00DE0579">
      <w:pPr>
        <w:pStyle w:val="Heading3"/>
        <w:ind w:left="-567"/>
        <w:rPr>
          <w:b/>
          <w:bCs/>
        </w:rPr>
      </w:pPr>
      <w:r w:rsidRPr="00DE0579">
        <w:rPr>
          <w:b/>
          <w:bCs/>
        </w:rPr>
        <w:t>Build confident, informed and protected investors</w:t>
      </w:r>
    </w:p>
    <w:p w14:paraId="2539E6AA" w14:textId="77777777" w:rsidR="00AC762B" w:rsidRPr="00AC762B" w:rsidRDefault="00AC762B" w:rsidP="00DE0579">
      <w:pPr>
        <w:ind w:left="-567"/>
        <w:rPr>
          <w:sz w:val="24"/>
          <w:szCs w:val="28"/>
        </w:rPr>
      </w:pPr>
      <w:r w:rsidRPr="00AC762B">
        <w:rPr>
          <w:sz w:val="24"/>
          <w:szCs w:val="28"/>
        </w:rPr>
        <w:t>More Australians will invest when they understand the risks, know their rights and have access to trusted information.</w:t>
      </w:r>
    </w:p>
    <w:p w14:paraId="3952C041" w14:textId="77777777" w:rsidR="00AC762B" w:rsidRPr="00AC762B" w:rsidRDefault="00AC762B" w:rsidP="00DE0579">
      <w:pPr>
        <w:ind w:left="-567"/>
        <w:rPr>
          <w:sz w:val="24"/>
          <w:szCs w:val="28"/>
        </w:rPr>
      </w:pPr>
      <w:r w:rsidRPr="00AC762B">
        <w:rPr>
          <w:sz w:val="24"/>
          <w:szCs w:val="28"/>
        </w:rPr>
        <w:t>ASA is calling for:</w:t>
      </w:r>
    </w:p>
    <w:p w14:paraId="36A655CE" w14:textId="40EDB9E1" w:rsidR="00AC762B" w:rsidRPr="00AC762B" w:rsidRDefault="00AC762B" w:rsidP="00DE0579">
      <w:pPr>
        <w:numPr>
          <w:ilvl w:val="0"/>
          <w:numId w:val="19"/>
        </w:numPr>
        <w:spacing w:before="0" w:after="160" w:line="278" w:lineRule="auto"/>
        <w:ind w:left="142"/>
        <w:rPr>
          <w:sz w:val="24"/>
          <w:szCs w:val="28"/>
        </w:rPr>
      </w:pPr>
      <w:r w:rsidRPr="00AC762B">
        <w:rPr>
          <w:sz w:val="24"/>
          <w:szCs w:val="28"/>
        </w:rPr>
        <w:t xml:space="preserve">A national commitment to improving financial </w:t>
      </w:r>
      <w:r w:rsidR="003D68E6">
        <w:rPr>
          <w:sz w:val="24"/>
          <w:szCs w:val="28"/>
        </w:rPr>
        <w:t>capability</w:t>
      </w:r>
      <w:r w:rsidRPr="00AC762B">
        <w:rPr>
          <w:sz w:val="24"/>
          <w:szCs w:val="28"/>
        </w:rPr>
        <w:t xml:space="preserve"> across all stages of life.</w:t>
      </w:r>
    </w:p>
    <w:p w14:paraId="263691A9"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Better education about investing, shareholder rights, risk management and scams.</w:t>
      </w:r>
    </w:p>
    <w:p w14:paraId="167EC15C"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Greater access to independent, trusted investor education.</w:t>
      </w:r>
    </w:p>
    <w:p w14:paraId="17CCAC68"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Stronger protections against scams, misleading promotions and poor-quality financial information.</w:t>
      </w:r>
    </w:p>
    <w:p w14:paraId="21FEDE49"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Policies that encourage long-term investing both inside and outside superannuation.</w:t>
      </w:r>
    </w:p>
    <w:p w14:paraId="49A25B74" w14:textId="77777777" w:rsidR="00AC762B" w:rsidRPr="00AC762B" w:rsidRDefault="00AC762B" w:rsidP="00DE0579">
      <w:pPr>
        <w:numPr>
          <w:ilvl w:val="0"/>
          <w:numId w:val="19"/>
        </w:numPr>
        <w:spacing w:before="0" w:after="160" w:line="278" w:lineRule="auto"/>
        <w:ind w:left="142"/>
        <w:rPr>
          <w:sz w:val="24"/>
          <w:szCs w:val="28"/>
        </w:rPr>
      </w:pPr>
      <w:r w:rsidRPr="00AC762B">
        <w:rPr>
          <w:sz w:val="24"/>
          <w:szCs w:val="28"/>
        </w:rPr>
        <w:t>Fewer barriers to informed participation in Australia's capital markets.</w:t>
      </w:r>
    </w:p>
    <w:p w14:paraId="749B4F2C" w14:textId="77777777" w:rsidR="00AC762B" w:rsidRPr="00DE0579" w:rsidRDefault="00AC762B" w:rsidP="00DE0579">
      <w:pPr>
        <w:pStyle w:val="Heading3"/>
        <w:ind w:left="-567"/>
        <w:rPr>
          <w:b/>
          <w:bCs/>
        </w:rPr>
      </w:pPr>
      <w:r w:rsidRPr="00DE0579">
        <w:rPr>
          <w:b/>
          <w:bCs/>
        </w:rPr>
        <w:t>Why it matters</w:t>
      </w:r>
    </w:p>
    <w:p w14:paraId="0539499E" w14:textId="77777777" w:rsidR="00AC762B" w:rsidRPr="00AC762B" w:rsidRDefault="00AC762B" w:rsidP="00DE0579">
      <w:pPr>
        <w:ind w:left="-567"/>
        <w:rPr>
          <w:sz w:val="24"/>
          <w:szCs w:val="28"/>
        </w:rPr>
      </w:pPr>
      <w:r w:rsidRPr="00AC762B">
        <w:rPr>
          <w:sz w:val="24"/>
          <w:szCs w:val="28"/>
        </w:rPr>
        <w:t>Confident investors make better decisions, are less vulnerable to scams, and are more likely to invest for the long term. Greater participation improves financial outcomes for investors while providing Australian businesses with the capital they need to grow.</w:t>
      </w:r>
    </w:p>
    <w:sectPr w:rsidR="00AC762B" w:rsidRPr="00AC762B" w:rsidSect="00DE0579">
      <w:headerReference w:type="even" r:id="rId7"/>
      <w:headerReference w:type="default" r:id="rId8"/>
      <w:footerReference w:type="even" r:id="rId9"/>
      <w:footerReference w:type="default" r:id="rId10"/>
      <w:headerReference w:type="first" r:id="rId11"/>
      <w:footerReference w:type="first" r:id="rId12"/>
      <w:pgSz w:w="11906" w:h="16838" w:code="9"/>
      <w:pgMar w:top="2354" w:right="1274" w:bottom="1418" w:left="2041" w:header="73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18594" w14:textId="77777777" w:rsidR="00C766F2" w:rsidRDefault="00C766F2" w:rsidP="00CB42DB">
      <w:pPr>
        <w:spacing w:before="0" w:line="240" w:lineRule="auto"/>
      </w:pPr>
      <w:r>
        <w:separator/>
      </w:r>
    </w:p>
  </w:endnote>
  <w:endnote w:type="continuationSeparator" w:id="0">
    <w:p w14:paraId="024B495C" w14:textId="77777777" w:rsidR="00C766F2" w:rsidRDefault="00C766F2" w:rsidP="00CB42D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C247" w14:textId="77777777" w:rsidR="00DE0579" w:rsidRDefault="00DE0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7C83" w14:textId="20C9978A" w:rsidR="001D7711" w:rsidRDefault="004461E3">
    <w:pPr>
      <w:pStyle w:val="Footer"/>
    </w:pPr>
    <w:r>
      <w:t>Australian Shareholders’ Association</w:t>
    </w:r>
    <w:r w:rsidRPr="004461E3">
      <w:t xml:space="preserve"> </w:t>
    </w:r>
    <w:r>
      <w:t xml:space="preserve">| </w:t>
    </w:r>
    <w:r w:rsidRPr="00D61EFE">
      <w:t>ABN 40 000 625 669</w:t>
    </w:r>
    <w:r w:rsidR="000D6421" w:rsidRPr="00D61EFE">
      <w:t xml:space="preserve"> | australianshareholders.com.au</w:t>
    </w:r>
    <w:r w:rsidR="00DE0579">
      <w:t xml:space="preserve"> </w:t>
    </w:r>
    <w:r w:rsidRPr="00D61EFE">
      <w:t>| 02 9252 4244</w:t>
    </w:r>
    <w:r w:rsidR="000D6421">
      <w:ptab w:relativeTo="margin" w:alignment="right" w:leader="none"/>
    </w:r>
    <w:r w:rsidR="000D6421" w:rsidRPr="00D61EFE">
      <w:fldChar w:fldCharType="begin"/>
    </w:r>
    <w:r w:rsidR="000D6421" w:rsidRPr="00D61EFE">
      <w:instrText xml:space="preserve"> PAGE   \* MERGEFORMAT </w:instrText>
    </w:r>
    <w:r w:rsidR="000D6421" w:rsidRPr="00D61EFE">
      <w:fldChar w:fldCharType="separate"/>
    </w:r>
    <w:r w:rsidR="000D6421" w:rsidRPr="00D61EFE">
      <w:t>1</w:t>
    </w:r>
    <w:r w:rsidR="000D6421" w:rsidRPr="00D61EF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08D2" w14:textId="77777777" w:rsidR="002E4A5A" w:rsidRPr="00D61EFE" w:rsidRDefault="004461E3" w:rsidP="002E4A5A">
    <w:pPr>
      <w:pStyle w:val="Footer"/>
    </w:pPr>
    <w:r w:rsidRPr="004461E3">
      <w:t>Australian Shareholders’ Association | ABN 40 000 625 669 | australianshareholders.com.au | 02 9252 4244</w:t>
    </w:r>
    <w:r w:rsidR="00D61EFE">
      <w:ptab w:relativeTo="margin" w:alignment="right" w:leader="none"/>
    </w:r>
    <w:r w:rsidR="00D61EFE" w:rsidRPr="00D61EFE">
      <w:fldChar w:fldCharType="begin"/>
    </w:r>
    <w:r w:rsidR="00D61EFE" w:rsidRPr="00D61EFE">
      <w:instrText xml:space="preserve"> PAGE   \* MERGEFORMAT </w:instrText>
    </w:r>
    <w:r w:rsidR="00D61EFE" w:rsidRPr="00D61EFE">
      <w:fldChar w:fldCharType="separate"/>
    </w:r>
    <w:r w:rsidR="00D61EFE" w:rsidRPr="00D61EFE">
      <w:t>1</w:t>
    </w:r>
    <w:r w:rsidR="00D61EFE" w:rsidRPr="00D61E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E4B1" w14:textId="77777777" w:rsidR="00C766F2" w:rsidRDefault="00C766F2" w:rsidP="00CB42DB">
      <w:pPr>
        <w:spacing w:before="0" w:line="240" w:lineRule="auto"/>
      </w:pPr>
      <w:r>
        <w:separator/>
      </w:r>
    </w:p>
  </w:footnote>
  <w:footnote w:type="continuationSeparator" w:id="0">
    <w:p w14:paraId="77C98040" w14:textId="77777777" w:rsidR="00C766F2" w:rsidRDefault="00C766F2" w:rsidP="00CB42D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93BC" w14:textId="77777777" w:rsidR="00DE0579" w:rsidRDefault="00DE0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95F9" w14:textId="77777777" w:rsidR="00DE0579" w:rsidRPr="002E4A5A" w:rsidRDefault="00DE0579" w:rsidP="00DE0579">
    <w:pPr>
      <w:pStyle w:val="Header"/>
    </w:pPr>
    <w:r>
      <w:rPr>
        <w:noProof/>
      </w:rPr>
      <w:drawing>
        <wp:inline distT="0" distB="0" distL="0" distR="0" wp14:anchorId="72AE4D77" wp14:editId="23DED088">
          <wp:extent cx="1971200" cy="576000"/>
          <wp:effectExtent l="0" t="0" r="0" b="0"/>
          <wp:docPr id="29284290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04505" name="Graphic 1926404505"/>
                  <pic:cNvPicPr/>
                </pic:nvPicPr>
                <pic:blipFill>
                  <a:blip r:embed="rId1">
                    <a:extLst>
                      <a:ext uri="{96DAC541-7B7A-43D3-8B79-37D633B846F1}">
                        <asvg:svgBlip xmlns:asvg="http://schemas.microsoft.com/office/drawing/2016/SVG/main" r:embed="rId2"/>
                      </a:ext>
                    </a:extLst>
                  </a:blip>
                  <a:stretch>
                    <a:fillRect/>
                  </a:stretch>
                </pic:blipFill>
                <pic:spPr>
                  <a:xfrm>
                    <a:off x="0" y="0"/>
                    <a:ext cx="1971200" cy="576000"/>
                  </a:xfrm>
                  <a:prstGeom prst="rect">
                    <a:avLst/>
                  </a:prstGeom>
                </pic:spPr>
              </pic:pic>
            </a:graphicData>
          </a:graphic>
        </wp:inline>
      </w:drawing>
    </w:r>
  </w:p>
  <w:p w14:paraId="598850D3" w14:textId="77777777" w:rsidR="00DE0579" w:rsidRDefault="00DE05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B0A2" w14:textId="77777777" w:rsidR="002E4A5A" w:rsidRPr="002E4A5A" w:rsidRDefault="002E4A5A" w:rsidP="002E4A5A">
    <w:pPr>
      <w:pStyle w:val="Header"/>
    </w:pPr>
    <w:r>
      <w:rPr>
        <w:noProof/>
      </w:rPr>
      <w:drawing>
        <wp:inline distT="0" distB="0" distL="0" distR="0" wp14:anchorId="53508758" wp14:editId="3B8471EC">
          <wp:extent cx="2433885" cy="711200"/>
          <wp:effectExtent l="0" t="0" r="5080" b="0"/>
          <wp:docPr id="188011981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04505" name="Graphic 1926404505"/>
                  <pic:cNvPicPr/>
                </pic:nvPicPr>
                <pic:blipFill>
                  <a:blip r:embed="rId1">
                    <a:extLst>
                      <a:ext uri="{96DAC541-7B7A-43D3-8B79-37D633B846F1}">
                        <asvg:svgBlip xmlns:asvg="http://schemas.microsoft.com/office/drawing/2016/SVG/main" r:embed="rId2"/>
                      </a:ext>
                    </a:extLst>
                  </a:blip>
                  <a:stretch>
                    <a:fillRect/>
                  </a:stretch>
                </pic:blipFill>
                <pic:spPr>
                  <a:xfrm>
                    <a:off x="0" y="0"/>
                    <a:ext cx="2437253" cy="7121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19C03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7CCE48B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430719C"/>
    <w:lvl w:ilvl="0">
      <w:start w:val="1"/>
      <w:numFmt w:val="bullet"/>
      <w:pStyle w:val="ListBullet3"/>
      <w:lvlText w:val=""/>
      <w:lvlJc w:val="left"/>
      <w:pPr>
        <w:tabs>
          <w:tab w:val="num" w:pos="926"/>
        </w:tabs>
        <w:ind w:left="926" w:hanging="360"/>
      </w:pPr>
      <w:rPr>
        <w:rFonts w:ascii="Symbol" w:hAnsi="Symbol" w:hint="default"/>
        <w:color w:val="7F7F7F" w:themeColor="text1" w:themeTint="80"/>
      </w:rPr>
    </w:lvl>
  </w:abstractNum>
  <w:abstractNum w:abstractNumId="3" w15:restartNumberingAfterBreak="0">
    <w:nsid w:val="FFFFFF83"/>
    <w:multiLevelType w:val="singleLevel"/>
    <w:tmpl w:val="D854B870"/>
    <w:lvl w:ilvl="0">
      <w:start w:val="1"/>
      <w:numFmt w:val="bullet"/>
      <w:pStyle w:val="ListBullet2"/>
      <w:lvlText w:val=""/>
      <w:lvlJc w:val="left"/>
      <w:pPr>
        <w:tabs>
          <w:tab w:val="num" w:pos="643"/>
        </w:tabs>
        <w:ind w:left="643" w:hanging="360"/>
      </w:pPr>
      <w:rPr>
        <w:rFonts w:ascii="Symbol" w:hAnsi="Symbol" w:hint="default"/>
        <w:color w:val="05654B" w:themeColor="accent1" w:themeTint="E6"/>
      </w:rPr>
    </w:lvl>
  </w:abstractNum>
  <w:abstractNum w:abstractNumId="4" w15:restartNumberingAfterBreak="0">
    <w:nsid w:val="FFFFFF88"/>
    <w:multiLevelType w:val="singleLevel"/>
    <w:tmpl w:val="B0F6460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EC6EF92"/>
    <w:lvl w:ilvl="0">
      <w:start w:val="1"/>
      <w:numFmt w:val="bullet"/>
      <w:pStyle w:val="ListBullet"/>
      <w:lvlText w:val=""/>
      <w:lvlJc w:val="left"/>
      <w:pPr>
        <w:tabs>
          <w:tab w:val="num" w:pos="360"/>
        </w:tabs>
        <w:ind w:left="360" w:hanging="360"/>
      </w:pPr>
      <w:rPr>
        <w:rFonts w:ascii="Symbol" w:hAnsi="Symbol" w:hint="default"/>
        <w:color w:val="033C2D" w:themeColor="accent1"/>
      </w:rPr>
    </w:lvl>
  </w:abstractNum>
  <w:abstractNum w:abstractNumId="6" w15:restartNumberingAfterBreak="0">
    <w:nsid w:val="12C2608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E20D22"/>
    <w:multiLevelType w:val="multilevel"/>
    <w:tmpl w:val="22D0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70C6E"/>
    <w:multiLevelType w:val="multilevel"/>
    <w:tmpl w:val="29A6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1429CC"/>
    <w:multiLevelType w:val="multilevel"/>
    <w:tmpl w:val="5370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601093"/>
    <w:multiLevelType w:val="multilevel"/>
    <w:tmpl w:val="06649F12"/>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 w:ilvl="1">
      <w:start w:val="1"/>
      <w:numFmt w:val="decimal"/>
      <w:lvlText w:val="%1-%2"/>
      <w:lvlJc w:val="left"/>
      <w:pPr>
        <w:tabs>
          <w:tab w:val="num" w:pos="1134"/>
        </w:tabs>
        <w:ind w:left="1134" w:hanging="1134"/>
      </w:pPr>
      <w:rPr>
        <w:rFonts w:asciiTheme="majorHAnsi" w:hAnsiTheme="majorHAnsi" w:hint="default"/>
        <w:b/>
        <w:i w:val="0"/>
        <w:color w:val="033C2D" w:themeColor="accent1"/>
      </w:rPr>
    </w:lvl>
    <w:lvl w:ilvl="2">
      <w:start w:val="1"/>
      <w:numFmt w:val="decimal"/>
      <w:lvlText w:val="%1-%2-%3"/>
      <w:lvlJc w:val="left"/>
      <w:pPr>
        <w:tabs>
          <w:tab w:val="num" w:pos="1134"/>
        </w:tabs>
        <w:ind w:left="1134" w:hanging="1134"/>
      </w:pPr>
      <w:rPr>
        <w:rFonts w:asciiTheme="majorHAnsi" w:hAnsiTheme="majorHAnsi" w:hint="default"/>
        <w:b/>
        <w:i w:val="0"/>
        <w:color w:val="00E5A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F6623CD"/>
    <w:multiLevelType w:val="multilevel"/>
    <w:tmpl w:val="9C04ECB8"/>
    <w:lvl w:ilvl="0">
      <w:start w:val="1"/>
      <w:numFmt w:val="none"/>
      <w:pStyle w:val="NormalBeforeList"/>
      <w:suff w:val="nothing"/>
      <w:lvlText w:val="%1"/>
      <w:lvlJc w:val="left"/>
      <w:pPr>
        <w:ind w:left="0" w:firstLine="0"/>
      </w:pPr>
      <w:rPr>
        <w:rFonts w:hint="default"/>
      </w:rPr>
    </w:lvl>
    <w:lvl w:ilvl="1">
      <w:start w:val="1"/>
      <w:numFmt w:val="decimal"/>
      <w:pStyle w:val="ListNumber"/>
      <w:lvlText w:val="%2."/>
      <w:lvlJc w:val="left"/>
      <w:pPr>
        <w:ind w:left="357" w:hanging="357"/>
      </w:pPr>
      <w:rPr>
        <w:rFonts w:hint="default"/>
      </w:rPr>
    </w:lvl>
    <w:lvl w:ilvl="2">
      <w:start w:val="1"/>
      <w:numFmt w:val="lowerLetter"/>
      <w:pStyle w:val="ListNumber2"/>
      <w:lvlText w:val="%3."/>
      <w:lvlJc w:val="left"/>
      <w:pPr>
        <w:tabs>
          <w:tab w:val="num" w:pos="357"/>
        </w:tabs>
        <w:ind w:left="714" w:hanging="357"/>
      </w:pPr>
      <w:rPr>
        <w:rFonts w:hint="default"/>
      </w:rPr>
    </w:lvl>
    <w:lvl w:ilvl="3">
      <w:start w:val="1"/>
      <w:numFmt w:val="lowerRoman"/>
      <w:pStyle w:val="ListNumber3"/>
      <w:lvlText w:val="%4."/>
      <w:lvlJc w:val="left"/>
      <w:pPr>
        <w:ind w:left="1072" w:hanging="358"/>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63ED4EDC"/>
    <w:multiLevelType w:val="multilevel"/>
    <w:tmpl w:val="3E0C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3A7C80"/>
    <w:multiLevelType w:val="multilevel"/>
    <w:tmpl w:val="3748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88046">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2" w16cid:durableId="1770738099">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3" w16cid:durableId="2076582768">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4" w16cid:durableId="1164056219">
    <w:abstractNumId w:val="10"/>
    <w:lvlOverride w:ilvl="0">
      <w:lvl w:ilvl="0">
        <w:start w:val="1"/>
        <w:numFmt w:val="upperLetter"/>
        <w:suff w:val="space"/>
        <w:lvlText w:val="Appendix %1"/>
        <w:lvlJc w:val="left"/>
        <w:pPr>
          <w:ind w:left="0" w:firstLine="0"/>
        </w:pPr>
        <w:rPr>
          <w:rFonts w:asciiTheme="majorHAnsi" w:hAnsiTheme="majorHAnsi" w:hint="default"/>
          <w:b/>
          <w:i w:val="0"/>
          <w:caps w:val="0"/>
          <w:color w:val="033C2D" w:themeColor="accent1"/>
          <w:sz w:val="40"/>
        </w:rPr>
      </w:lvl>
    </w:lvlOverride>
  </w:num>
  <w:num w:numId="5" w16cid:durableId="831216178">
    <w:abstractNumId w:val="5"/>
  </w:num>
  <w:num w:numId="6" w16cid:durableId="1815902940">
    <w:abstractNumId w:val="3"/>
  </w:num>
  <w:num w:numId="7" w16cid:durableId="1423333983">
    <w:abstractNumId w:val="2"/>
  </w:num>
  <w:num w:numId="8" w16cid:durableId="1001809570">
    <w:abstractNumId w:val="4"/>
  </w:num>
  <w:num w:numId="9" w16cid:durableId="1348672751">
    <w:abstractNumId w:val="1"/>
  </w:num>
  <w:num w:numId="10" w16cid:durableId="1909922828">
    <w:abstractNumId w:val="0"/>
  </w:num>
  <w:num w:numId="11" w16cid:durableId="98375063">
    <w:abstractNumId w:val="6"/>
  </w:num>
  <w:num w:numId="12" w16cid:durableId="1449930580">
    <w:abstractNumId w:val="11"/>
  </w:num>
  <w:num w:numId="13" w16cid:durableId="1470171267">
    <w:abstractNumId w:val="4"/>
  </w:num>
  <w:num w:numId="14" w16cid:durableId="200946489">
    <w:abstractNumId w:val="4"/>
  </w:num>
  <w:num w:numId="15" w16cid:durableId="728262312">
    <w:abstractNumId w:val="7"/>
  </w:num>
  <w:num w:numId="16" w16cid:durableId="1771656305">
    <w:abstractNumId w:val="13"/>
  </w:num>
  <w:num w:numId="17" w16cid:durableId="1438519064">
    <w:abstractNumId w:val="9"/>
  </w:num>
  <w:num w:numId="18" w16cid:durableId="1988822185">
    <w:abstractNumId w:val="8"/>
  </w:num>
  <w:num w:numId="19" w16cid:durableId="342825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2B"/>
    <w:rsid w:val="00011EDF"/>
    <w:rsid w:val="00016FB7"/>
    <w:rsid w:val="00024FD7"/>
    <w:rsid w:val="0002728E"/>
    <w:rsid w:val="000431FE"/>
    <w:rsid w:val="000505D2"/>
    <w:rsid w:val="00061CBE"/>
    <w:rsid w:val="0009044C"/>
    <w:rsid w:val="000D6421"/>
    <w:rsid w:val="000E76D9"/>
    <w:rsid w:val="000F268B"/>
    <w:rsid w:val="000F3828"/>
    <w:rsid w:val="001229BC"/>
    <w:rsid w:val="00127F9D"/>
    <w:rsid w:val="001831FF"/>
    <w:rsid w:val="00196452"/>
    <w:rsid w:val="001A40F3"/>
    <w:rsid w:val="001D7711"/>
    <w:rsid w:val="00230836"/>
    <w:rsid w:val="00257FE1"/>
    <w:rsid w:val="002B1458"/>
    <w:rsid w:val="002D0F42"/>
    <w:rsid w:val="002D22FA"/>
    <w:rsid w:val="002E4A5A"/>
    <w:rsid w:val="00312451"/>
    <w:rsid w:val="00362805"/>
    <w:rsid w:val="00376EF1"/>
    <w:rsid w:val="00396EF2"/>
    <w:rsid w:val="003D68E6"/>
    <w:rsid w:val="00400BA8"/>
    <w:rsid w:val="004461E3"/>
    <w:rsid w:val="00493FE6"/>
    <w:rsid w:val="0049668B"/>
    <w:rsid w:val="004B5EB9"/>
    <w:rsid w:val="004C794F"/>
    <w:rsid w:val="004D20A5"/>
    <w:rsid w:val="0053222A"/>
    <w:rsid w:val="00576324"/>
    <w:rsid w:val="00667959"/>
    <w:rsid w:val="006828F6"/>
    <w:rsid w:val="00684671"/>
    <w:rsid w:val="00684AC7"/>
    <w:rsid w:val="006A5E94"/>
    <w:rsid w:val="006C224D"/>
    <w:rsid w:val="006C7C89"/>
    <w:rsid w:val="006E323B"/>
    <w:rsid w:val="00773C73"/>
    <w:rsid w:val="0079221C"/>
    <w:rsid w:val="008072EA"/>
    <w:rsid w:val="008349DF"/>
    <w:rsid w:val="00843A1C"/>
    <w:rsid w:val="008A0532"/>
    <w:rsid w:val="00927C54"/>
    <w:rsid w:val="00950256"/>
    <w:rsid w:val="009728CF"/>
    <w:rsid w:val="009966D9"/>
    <w:rsid w:val="009D3ADE"/>
    <w:rsid w:val="00A235B8"/>
    <w:rsid w:val="00A2415B"/>
    <w:rsid w:val="00A53C12"/>
    <w:rsid w:val="00A73880"/>
    <w:rsid w:val="00A92A65"/>
    <w:rsid w:val="00AB7FD1"/>
    <w:rsid w:val="00AC762B"/>
    <w:rsid w:val="00AD72EC"/>
    <w:rsid w:val="00AD7D53"/>
    <w:rsid w:val="00B30420"/>
    <w:rsid w:val="00B309FF"/>
    <w:rsid w:val="00B3733E"/>
    <w:rsid w:val="00B65321"/>
    <w:rsid w:val="00B9463A"/>
    <w:rsid w:val="00BA2E8B"/>
    <w:rsid w:val="00BD261B"/>
    <w:rsid w:val="00C01B8D"/>
    <w:rsid w:val="00C222F1"/>
    <w:rsid w:val="00C37912"/>
    <w:rsid w:val="00C713B4"/>
    <w:rsid w:val="00C766F2"/>
    <w:rsid w:val="00C85F1E"/>
    <w:rsid w:val="00CB42DB"/>
    <w:rsid w:val="00CF20B4"/>
    <w:rsid w:val="00D007FA"/>
    <w:rsid w:val="00D61EFE"/>
    <w:rsid w:val="00D74180"/>
    <w:rsid w:val="00DD646E"/>
    <w:rsid w:val="00DE0579"/>
    <w:rsid w:val="00DF2AEC"/>
    <w:rsid w:val="00E03B0B"/>
    <w:rsid w:val="00E3087B"/>
    <w:rsid w:val="00E4114D"/>
    <w:rsid w:val="00E76ACA"/>
    <w:rsid w:val="00EC6CB0"/>
    <w:rsid w:val="00ED68E7"/>
    <w:rsid w:val="00F02D14"/>
    <w:rsid w:val="00F04DDB"/>
    <w:rsid w:val="00F3745E"/>
    <w:rsid w:val="00F515D1"/>
    <w:rsid w:val="00F95705"/>
    <w:rsid w:val="1BA7DBF2"/>
    <w:rsid w:val="26F886EF"/>
    <w:rsid w:val="6A1A98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B38DE"/>
  <w15:chartTrackingRefBased/>
  <w15:docId w15:val="{A8CAD1FA-E91D-4009-B29A-C14BBF706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nhideWhenUsed="1"/>
    <w:lsdException w:name="header" w:semiHidden="1" w:unhideWhenUsed="1"/>
    <w:lsdException w:name="index heading" w:semiHidden="1" w:unhideWhenUsed="1"/>
    <w:lsdException w:name="caption" w:uiPriority="35" w:qFormat="1"/>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EF1"/>
    <w:pPr>
      <w:spacing w:before="160" w:after="0"/>
    </w:pPr>
    <w:rPr>
      <w:sz w:val="20"/>
    </w:rPr>
  </w:style>
  <w:style w:type="paragraph" w:styleId="Heading1">
    <w:name w:val="heading 1"/>
    <w:basedOn w:val="Normal"/>
    <w:next w:val="Normal"/>
    <w:link w:val="Heading1Char"/>
    <w:uiPriority w:val="9"/>
    <w:qFormat/>
    <w:rsid w:val="004461E3"/>
    <w:pPr>
      <w:keepNext/>
      <w:keepLines/>
      <w:spacing w:before="360" w:after="80"/>
      <w:outlineLvl w:val="0"/>
    </w:pPr>
    <w:rPr>
      <w:rFonts w:asciiTheme="majorHAnsi" w:eastAsiaTheme="majorEastAsia" w:hAnsiTheme="majorHAnsi" w:cstheme="majorBidi"/>
      <w:color w:val="033C2D" w:themeColor="accent1"/>
      <w:sz w:val="40"/>
      <w:szCs w:val="40"/>
    </w:rPr>
  </w:style>
  <w:style w:type="paragraph" w:styleId="Heading2">
    <w:name w:val="heading 2"/>
    <w:basedOn w:val="Normal"/>
    <w:next w:val="Normal"/>
    <w:link w:val="Heading2Char"/>
    <w:uiPriority w:val="9"/>
    <w:unhideWhenUsed/>
    <w:qFormat/>
    <w:rsid w:val="004461E3"/>
    <w:pPr>
      <w:keepNext/>
      <w:keepLines/>
      <w:spacing w:after="80"/>
      <w:outlineLvl w:val="1"/>
    </w:pPr>
    <w:rPr>
      <w:rFonts w:asciiTheme="majorHAnsi" w:eastAsiaTheme="majorEastAsia" w:hAnsiTheme="majorHAnsi" w:cstheme="majorBidi"/>
      <w:color w:val="033C2D" w:themeColor="accent1"/>
      <w:sz w:val="28"/>
      <w:szCs w:val="28"/>
    </w:rPr>
  </w:style>
  <w:style w:type="paragraph" w:styleId="Heading3">
    <w:name w:val="heading 3"/>
    <w:basedOn w:val="Normal"/>
    <w:next w:val="Normal"/>
    <w:link w:val="Heading3Char"/>
    <w:uiPriority w:val="9"/>
    <w:unhideWhenUsed/>
    <w:qFormat/>
    <w:rsid w:val="004461E3"/>
    <w:pPr>
      <w:keepNext/>
      <w:keepLines/>
      <w:spacing w:after="80"/>
      <w:outlineLvl w:val="2"/>
    </w:pPr>
    <w:rPr>
      <w:rFonts w:asciiTheme="majorHAnsi" w:eastAsiaTheme="majorEastAsia" w:hAnsiTheme="majorHAnsi" w:cstheme="majorBidi"/>
      <w:color w:val="033C2D" w:themeColor="accent1"/>
      <w:sz w:val="24"/>
      <w:szCs w:val="24"/>
    </w:rPr>
  </w:style>
  <w:style w:type="paragraph" w:styleId="Heading4">
    <w:name w:val="heading 4"/>
    <w:basedOn w:val="Normal"/>
    <w:next w:val="Normal"/>
    <w:link w:val="Heading4Char"/>
    <w:uiPriority w:val="9"/>
    <w:qFormat/>
    <w:rsid w:val="001A40F3"/>
    <w:pPr>
      <w:keepNext/>
      <w:keepLines/>
      <w:spacing w:after="80"/>
      <w:outlineLvl w:val="3"/>
    </w:pPr>
    <w:rPr>
      <w:rFonts w:asciiTheme="majorHAnsi" w:eastAsiaTheme="majorEastAsia" w:hAnsiTheme="majorHAnsi" w:cstheme="majorBidi"/>
      <w:color w:val="033C2D" w:themeColor="accent1"/>
      <w:sz w:val="24"/>
      <w:szCs w:val="28"/>
    </w:rPr>
  </w:style>
  <w:style w:type="paragraph" w:styleId="Heading5">
    <w:name w:val="heading 5"/>
    <w:basedOn w:val="Normal"/>
    <w:next w:val="Normal"/>
    <w:link w:val="Heading5Char"/>
    <w:uiPriority w:val="9"/>
    <w:qFormat/>
    <w:rsid w:val="001A40F3"/>
    <w:pPr>
      <w:keepNext/>
      <w:keepLines/>
      <w:spacing w:after="80"/>
      <w:outlineLvl w:val="4"/>
    </w:pPr>
    <w:rPr>
      <w:rFonts w:eastAsiaTheme="majorEastAsia" w:cstheme="majorBidi"/>
      <w:color w:val="033C2D" w:themeColor="accent1"/>
      <w:sz w:val="22"/>
      <w:szCs w:val="24"/>
    </w:rPr>
  </w:style>
  <w:style w:type="paragraph" w:styleId="Heading6">
    <w:name w:val="heading 6"/>
    <w:basedOn w:val="Normal"/>
    <w:next w:val="Normal"/>
    <w:link w:val="Heading6Char"/>
    <w:uiPriority w:val="9"/>
    <w:qFormat/>
    <w:rsid w:val="001A40F3"/>
    <w:pPr>
      <w:keepNext/>
      <w:keepLines/>
      <w:spacing w:after="80"/>
      <w:outlineLvl w:val="5"/>
    </w:pPr>
    <w:rPr>
      <w:rFonts w:eastAsiaTheme="majorEastAsia" w:cstheme="majorBidi"/>
      <w:i/>
      <w:iCs/>
      <w:color w:val="033C2D" w:themeColor="accent1"/>
      <w:sz w:val="22"/>
      <w:szCs w:val="24"/>
    </w:rPr>
  </w:style>
  <w:style w:type="paragraph" w:styleId="Heading7">
    <w:name w:val="heading 7"/>
    <w:basedOn w:val="Normal"/>
    <w:next w:val="Normal"/>
    <w:link w:val="Heading7Char"/>
    <w:uiPriority w:val="9"/>
    <w:qFormat/>
    <w:rsid w:val="001A40F3"/>
    <w:pPr>
      <w:keepNext/>
      <w:keepLines/>
      <w:spacing w:after="80"/>
      <w:outlineLvl w:val="6"/>
    </w:pPr>
    <w:rPr>
      <w:rFonts w:eastAsiaTheme="majorEastAsia" w:cstheme="majorBidi"/>
      <w:color w:val="7F7F7F" w:themeColor="text1" w:themeTint="80"/>
      <w:sz w:val="22"/>
      <w:szCs w:val="24"/>
    </w:rPr>
  </w:style>
  <w:style w:type="paragraph" w:styleId="Heading8">
    <w:name w:val="heading 8"/>
    <w:basedOn w:val="Normal"/>
    <w:next w:val="Normal"/>
    <w:link w:val="Heading8Char"/>
    <w:uiPriority w:val="9"/>
    <w:qFormat/>
    <w:rsid w:val="001A40F3"/>
    <w:pPr>
      <w:keepNext/>
      <w:keepLines/>
      <w:spacing w:after="80"/>
      <w:outlineLvl w:val="7"/>
    </w:pPr>
    <w:rPr>
      <w:rFonts w:eastAsiaTheme="majorEastAsia" w:cstheme="majorBidi"/>
      <w:i/>
      <w:iCs/>
      <w:color w:val="7F7F7F" w:themeColor="text1" w:themeTint="80"/>
      <w:sz w:val="22"/>
      <w:szCs w:val="24"/>
    </w:rPr>
  </w:style>
  <w:style w:type="paragraph" w:styleId="Heading9">
    <w:name w:val="heading 9"/>
    <w:basedOn w:val="Normal"/>
    <w:next w:val="Normal"/>
    <w:link w:val="Heading9Char"/>
    <w:uiPriority w:val="9"/>
    <w:qFormat/>
    <w:rsid w:val="001A40F3"/>
    <w:pPr>
      <w:keepNext/>
      <w:keepLines/>
      <w:spacing w:after="80"/>
      <w:outlineLvl w:val="8"/>
    </w:pPr>
    <w:rPr>
      <w:rFonts w:eastAsiaTheme="majorEastAsia" w:cstheme="majorBidi"/>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sid w:val="001A40F3"/>
    <w:rPr>
      <w:rFonts w:eastAsiaTheme="majorEastAsia" w:cstheme="majorBidi"/>
      <w:color w:val="7F7F7F" w:themeColor="text1" w:themeTint="80"/>
      <w:sz w:val="20"/>
    </w:rPr>
  </w:style>
  <w:style w:type="character" w:customStyle="1" w:styleId="Heading1Char">
    <w:name w:val="Heading 1 Char"/>
    <w:basedOn w:val="DefaultParagraphFont"/>
    <w:link w:val="Heading1"/>
    <w:uiPriority w:val="9"/>
    <w:rsid w:val="004461E3"/>
    <w:rPr>
      <w:rFonts w:asciiTheme="majorHAnsi" w:eastAsiaTheme="majorEastAsia" w:hAnsiTheme="majorHAnsi" w:cstheme="majorBidi"/>
      <w:color w:val="033C2D" w:themeColor="accent1"/>
      <w:sz w:val="40"/>
      <w:szCs w:val="40"/>
    </w:rPr>
  </w:style>
  <w:style w:type="character" w:customStyle="1" w:styleId="Heading2Char">
    <w:name w:val="Heading 2 Char"/>
    <w:basedOn w:val="DefaultParagraphFont"/>
    <w:link w:val="Heading2"/>
    <w:uiPriority w:val="9"/>
    <w:rsid w:val="004461E3"/>
    <w:rPr>
      <w:rFonts w:asciiTheme="majorHAnsi" w:eastAsiaTheme="majorEastAsia" w:hAnsiTheme="majorHAnsi" w:cstheme="majorBidi"/>
      <w:color w:val="033C2D" w:themeColor="accent1"/>
      <w:sz w:val="28"/>
      <w:szCs w:val="28"/>
    </w:rPr>
  </w:style>
  <w:style w:type="character" w:customStyle="1" w:styleId="Heading3Char">
    <w:name w:val="Heading 3 Char"/>
    <w:basedOn w:val="DefaultParagraphFont"/>
    <w:link w:val="Heading3"/>
    <w:uiPriority w:val="9"/>
    <w:rsid w:val="004461E3"/>
    <w:rPr>
      <w:rFonts w:asciiTheme="majorHAnsi" w:eastAsiaTheme="majorEastAsia" w:hAnsiTheme="majorHAnsi" w:cstheme="majorBidi"/>
      <w:color w:val="033C2D" w:themeColor="accent1"/>
      <w:sz w:val="24"/>
      <w:szCs w:val="24"/>
    </w:rPr>
  </w:style>
  <w:style w:type="character" w:customStyle="1" w:styleId="Heading4Char">
    <w:name w:val="Heading 4 Char"/>
    <w:basedOn w:val="DefaultParagraphFont"/>
    <w:link w:val="Heading4"/>
    <w:uiPriority w:val="9"/>
    <w:rsid w:val="001A40F3"/>
    <w:rPr>
      <w:rFonts w:asciiTheme="majorHAnsi" w:eastAsiaTheme="majorEastAsia" w:hAnsiTheme="majorHAnsi" w:cstheme="majorBidi"/>
      <w:color w:val="033C2D" w:themeColor="accent1"/>
      <w:sz w:val="24"/>
      <w:szCs w:val="28"/>
    </w:rPr>
  </w:style>
  <w:style w:type="character" w:customStyle="1" w:styleId="Heading5Char">
    <w:name w:val="Heading 5 Char"/>
    <w:basedOn w:val="DefaultParagraphFont"/>
    <w:link w:val="Heading5"/>
    <w:uiPriority w:val="9"/>
    <w:rsid w:val="001A40F3"/>
    <w:rPr>
      <w:rFonts w:eastAsiaTheme="majorEastAsia" w:cstheme="majorBidi"/>
      <w:color w:val="033C2D" w:themeColor="accent1"/>
      <w:szCs w:val="24"/>
    </w:rPr>
  </w:style>
  <w:style w:type="character" w:customStyle="1" w:styleId="Heading6Char">
    <w:name w:val="Heading 6 Char"/>
    <w:basedOn w:val="DefaultParagraphFont"/>
    <w:link w:val="Heading6"/>
    <w:uiPriority w:val="9"/>
    <w:rsid w:val="001A40F3"/>
    <w:rPr>
      <w:rFonts w:eastAsiaTheme="majorEastAsia" w:cstheme="majorBidi"/>
      <w:i/>
      <w:iCs/>
      <w:color w:val="033C2D" w:themeColor="accent1"/>
      <w:szCs w:val="24"/>
    </w:rPr>
  </w:style>
  <w:style w:type="character" w:customStyle="1" w:styleId="Heading7Char">
    <w:name w:val="Heading 7 Char"/>
    <w:basedOn w:val="DefaultParagraphFont"/>
    <w:link w:val="Heading7"/>
    <w:uiPriority w:val="9"/>
    <w:rsid w:val="001A40F3"/>
    <w:rPr>
      <w:rFonts w:eastAsiaTheme="majorEastAsia" w:cstheme="majorBidi"/>
      <w:color w:val="7F7F7F" w:themeColor="text1" w:themeTint="80"/>
      <w:szCs w:val="24"/>
    </w:rPr>
  </w:style>
  <w:style w:type="character" w:customStyle="1" w:styleId="Heading8Char">
    <w:name w:val="Heading 8 Char"/>
    <w:basedOn w:val="DefaultParagraphFont"/>
    <w:link w:val="Heading8"/>
    <w:uiPriority w:val="9"/>
    <w:rsid w:val="001A40F3"/>
    <w:rPr>
      <w:rFonts w:eastAsiaTheme="majorEastAsia" w:cstheme="majorBidi"/>
      <w:i/>
      <w:iCs/>
      <w:color w:val="7F7F7F" w:themeColor="text1" w:themeTint="80"/>
      <w:szCs w:val="24"/>
    </w:rPr>
  </w:style>
  <w:style w:type="paragraph" w:styleId="Title">
    <w:name w:val="Title"/>
    <w:basedOn w:val="Normal"/>
    <w:next w:val="Normal"/>
    <w:link w:val="TitleChar"/>
    <w:uiPriority w:val="10"/>
    <w:semiHidden/>
    <w:qFormat/>
    <w:rsid w:val="0080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2D0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80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2D0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8072EA"/>
    <w:pPr>
      <w:jc w:val="center"/>
    </w:pPr>
    <w:rPr>
      <w:i/>
      <w:iCs/>
      <w:color w:val="404040" w:themeColor="text1" w:themeTint="BF"/>
    </w:rPr>
  </w:style>
  <w:style w:type="character" w:customStyle="1" w:styleId="QuoteChar">
    <w:name w:val="Quote Char"/>
    <w:basedOn w:val="DefaultParagraphFont"/>
    <w:link w:val="Quote"/>
    <w:uiPriority w:val="29"/>
    <w:semiHidden/>
    <w:rsid w:val="002D0F42"/>
    <w:rPr>
      <w:i/>
      <w:iCs/>
      <w:color w:val="404040" w:themeColor="text1" w:themeTint="BF"/>
      <w:sz w:val="20"/>
    </w:rPr>
  </w:style>
  <w:style w:type="paragraph" w:styleId="ListParagraph">
    <w:name w:val="List Paragraph"/>
    <w:basedOn w:val="Normal"/>
    <w:uiPriority w:val="34"/>
    <w:semiHidden/>
    <w:qFormat/>
    <w:rsid w:val="008072EA"/>
    <w:pPr>
      <w:ind w:left="720"/>
      <w:contextualSpacing/>
    </w:pPr>
  </w:style>
  <w:style w:type="character" w:styleId="IntenseEmphasis">
    <w:name w:val="Intense Emphasis"/>
    <w:basedOn w:val="DefaultParagraphFont"/>
    <w:uiPriority w:val="21"/>
    <w:semiHidden/>
    <w:qFormat/>
    <w:rsid w:val="008072EA"/>
    <w:rPr>
      <w:i/>
      <w:iCs/>
      <w:color w:val="022C21" w:themeColor="accent1" w:themeShade="BF"/>
    </w:rPr>
  </w:style>
  <w:style w:type="paragraph" w:styleId="IntenseQuote">
    <w:name w:val="Intense Quote"/>
    <w:basedOn w:val="Normal"/>
    <w:next w:val="Normal"/>
    <w:link w:val="IntenseQuoteChar"/>
    <w:uiPriority w:val="30"/>
    <w:semiHidden/>
    <w:qFormat/>
    <w:rsid w:val="008072EA"/>
    <w:pPr>
      <w:pBdr>
        <w:top w:val="single" w:sz="4" w:space="10" w:color="022C21" w:themeColor="accent1" w:themeShade="BF"/>
        <w:bottom w:val="single" w:sz="4" w:space="10" w:color="022C21" w:themeColor="accent1" w:themeShade="BF"/>
      </w:pBdr>
      <w:spacing w:before="360" w:after="360"/>
      <w:ind w:left="864" w:right="864"/>
      <w:jc w:val="center"/>
    </w:pPr>
    <w:rPr>
      <w:i/>
      <w:iCs/>
      <w:color w:val="022C21" w:themeColor="accent1" w:themeShade="BF"/>
    </w:rPr>
  </w:style>
  <w:style w:type="character" w:customStyle="1" w:styleId="IntenseQuoteChar">
    <w:name w:val="Intense Quote Char"/>
    <w:basedOn w:val="DefaultParagraphFont"/>
    <w:link w:val="IntenseQuote"/>
    <w:uiPriority w:val="30"/>
    <w:semiHidden/>
    <w:rsid w:val="002D0F42"/>
    <w:rPr>
      <w:i/>
      <w:iCs/>
      <w:color w:val="022C21" w:themeColor="accent1" w:themeShade="BF"/>
      <w:sz w:val="20"/>
    </w:rPr>
  </w:style>
  <w:style w:type="character" w:styleId="IntenseReference">
    <w:name w:val="Intense Reference"/>
    <w:basedOn w:val="DefaultParagraphFont"/>
    <w:uiPriority w:val="32"/>
    <w:semiHidden/>
    <w:qFormat/>
    <w:rsid w:val="008072EA"/>
    <w:rPr>
      <w:b/>
      <w:bCs/>
      <w:smallCaps/>
      <w:color w:val="022C21" w:themeColor="accent1" w:themeShade="BF"/>
      <w:spacing w:val="5"/>
    </w:rPr>
  </w:style>
  <w:style w:type="character" w:styleId="PlaceholderText">
    <w:name w:val="Placeholder Text"/>
    <w:basedOn w:val="DefaultParagraphFont"/>
    <w:uiPriority w:val="99"/>
    <w:semiHidden/>
    <w:rsid w:val="002D0F42"/>
    <w:rPr>
      <w:color w:val="666666"/>
    </w:rPr>
  </w:style>
  <w:style w:type="paragraph" w:styleId="ListBullet">
    <w:name w:val="List Bullet"/>
    <w:basedOn w:val="Normal"/>
    <w:next w:val="Normal"/>
    <w:uiPriority w:val="99"/>
    <w:rsid w:val="00AD72EC"/>
    <w:pPr>
      <w:numPr>
        <w:numId w:val="5"/>
      </w:numPr>
      <w:tabs>
        <w:tab w:val="clear" w:pos="360"/>
      </w:tabs>
      <w:spacing w:after="40"/>
      <w:contextualSpacing/>
    </w:pPr>
    <w:rPr>
      <w:noProof/>
    </w:rPr>
  </w:style>
  <w:style w:type="paragraph" w:styleId="ListBullet2">
    <w:name w:val="List Bullet 2"/>
    <w:basedOn w:val="Normal"/>
    <w:next w:val="Normal"/>
    <w:uiPriority w:val="99"/>
    <w:rsid w:val="00AD72EC"/>
    <w:pPr>
      <w:numPr>
        <w:numId w:val="6"/>
      </w:numPr>
      <w:tabs>
        <w:tab w:val="clear" w:pos="643"/>
      </w:tabs>
      <w:spacing w:before="80" w:after="40"/>
      <w:ind w:left="714" w:hanging="357"/>
      <w:contextualSpacing/>
    </w:pPr>
    <w:rPr>
      <w:noProof/>
    </w:rPr>
  </w:style>
  <w:style w:type="paragraph" w:styleId="ListBullet3">
    <w:name w:val="List Bullet 3"/>
    <w:basedOn w:val="Normal"/>
    <w:next w:val="Normal"/>
    <w:uiPriority w:val="99"/>
    <w:rsid w:val="00AD72EC"/>
    <w:pPr>
      <w:numPr>
        <w:numId w:val="7"/>
      </w:numPr>
      <w:tabs>
        <w:tab w:val="clear" w:pos="926"/>
      </w:tabs>
      <w:spacing w:before="80" w:after="40"/>
      <w:ind w:left="1071" w:hanging="357"/>
      <w:contextualSpacing/>
    </w:pPr>
    <w:rPr>
      <w:noProof/>
    </w:rPr>
  </w:style>
  <w:style w:type="table" w:styleId="TableGrid">
    <w:name w:val="Table Grid"/>
    <w:basedOn w:val="TableNormal"/>
    <w:uiPriority w:val="39"/>
    <w:rsid w:val="002D0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next w:val="Normal"/>
    <w:uiPriority w:val="99"/>
    <w:rsid w:val="00CB42DB"/>
    <w:pPr>
      <w:spacing w:before="280" w:after="360"/>
      <w:contextualSpacing/>
    </w:pPr>
  </w:style>
  <w:style w:type="paragraph" w:styleId="Salutation">
    <w:name w:val="Salutation"/>
    <w:basedOn w:val="Normal"/>
    <w:next w:val="Normal"/>
    <w:link w:val="SalutationChar"/>
    <w:uiPriority w:val="99"/>
    <w:rsid w:val="00CB42DB"/>
    <w:pPr>
      <w:spacing w:before="400"/>
    </w:pPr>
  </w:style>
  <w:style w:type="character" w:customStyle="1" w:styleId="SalutationChar">
    <w:name w:val="Salutation Char"/>
    <w:basedOn w:val="DefaultParagraphFont"/>
    <w:link w:val="Salutation"/>
    <w:uiPriority w:val="99"/>
    <w:rsid w:val="00CB42DB"/>
    <w:rPr>
      <w:sz w:val="20"/>
    </w:rPr>
  </w:style>
  <w:style w:type="paragraph" w:styleId="Caption">
    <w:name w:val="caption"/>
    <w:basedOn w:val="Normal"/>
    <w:next w:val="Normal"/>
    <w:uiPriority w:val="35"/>
    <w:qFormat/>
    <w:rsid w:val="00AB7FD1"/>
    <w:pPr>
      <w:spacing w:after="120" w:line="240" w:lineRule="auto"/>
    </w:pPr>
    <w:rPr>
      <w:i/>
      <w:iCs/>
      <w:color w:val="033C2D" w:themeColor="accent1"/>
      <w:sz w:val="18"/>
      <w:szCs w:val="18"/>
    </w:rPr>
  </w:style>
  <w:style w:type="paragraph" w:customStyle="1" w:styleId="Signoff">
    <w:name w:val="Signoff"/>
    <w:basedOn w:val="Normal"/>
    <w:qFormat/>
    <w:rsid w:val="002D0F42"/>
  </w:style>
  <w:style w:type="paragraph" w:styleId="Signature">
    <w:name w:val="Signature"/>
    <w:basedOn w:val="Normal"/>
    <w:link w:val="SignatureChar"/>
    <w:uiPriority w:val="99"/>
    <w:rsid w:val="00F02D14"/>
    <w:pPr>
      <w:spacing w:before="1080"/>
      <w:contextualSpacing/>
    </w:pPr>
  </w:style>
  <w:style w:type="character" w:customStyle="1" w:styleId="SignatureChar">
    <w:name w:val="Signature Char"/>
    <w:basedOn w:val="DefaultParagraphFont"/>
    <w:link w:val="Signature"/>
    <w:uiPriority w:val="99"/>
    <w:rsid w:val="00F02D14"/>
    <w:rPr>
      <w:sz w:val="20"/>
    </w:rPr>
  </w:style>
  <w:style w:type="character" w:customStyle="1" w:styleId="Bold">
    <w:name w:val="*Bold"/>
    <w:basedOn w:val="DefaultParagraphFont"/>
    <w:uiPriority w:val="1"/>
    <w:qFormat/>
    <w:rsid w:val="00AD7D53"/>
    <w:rPr>
      <w:rFonts w:ascii="Arial Nova" w:hAnsi="Arial Nova"/>
      <w:b/>
      <w:noProof w:val="0"/>
      <w:lang w:val="en-AU"/>
    </w:rPr>
  </w:style>
  <w:style w:type="paragraph" w:styleId="Date">
    <w:name w:val="Date"/>
    <w:basedOn w:val="Normal"/>
    <w:next w:val="Normal"/>
    <w:link w:val="DateChar"/>
    <w:uiPriority w:val="99"/>
    <w:rsid w:val="004C794F"/>
  </w:style>
  <w:style w:type="character" w:customStyle="1" w:styleId="DateChar">
    <w:name w:val="Date Char"/>
    <w:basedOn w:val="DefaultParagraphFont"/>
    <w:link w:val="Date"/>
    <w:uiPriority w:val="99"/>
    <w:rsid w:val="004C794F"/>
    <w:rPr>
      <w:sz w:val="20"/>
    </w:rPr>
  </w:style>
  <w:style w:type="paragraph" w:customStyle="1" w:styleId="Tabletext">
    <w:name w:val="Table text"/>
    <w:basedOn w:val="Normal"/>
    <w:qFormat/>
    <w:rsid w:val="004C794F"/>
    <w:pPr>
      <w:spacing w:before="80" w:after="80" w:line="240" w:lineRule="auto"/>
    </w:pPr>
  </w:style>
  <w:style w:type="paragraph" w:customStyle="1" w:styleId="TableNumbers">
    <w:name w:val="Table Numbers"/>
    <w:basedOn w:val="Tabletext"/>
    <w:next w:val="Tabletext"/>
    <w:qFormat/>
    <w:rsid w:val="004C794F"/>
    <w:pPr>
      <w:jc w:val="right"/>
    </w:pPr>
  </w:style>
  <w:style w:type="paragraph" w:styleId="Header">
    <w:name w:val="header"/>
    <w:basedOn w:val="Normal"/>
    <w:link w:val="HeaderChar"/>
    <w:uiPriority w:val="99"/>
    <w:unhideWhenUsed/>
    <w:rsid w:val="002E4A5A"/>
    <w:pPr>
      <w:tabs>
        <w:tab w:val="center" w:pos="4513"/>
        <w:tab w:val="right" w:pos="9026"/>
      </w:tabs>
      <w:spacing w:before="0" w:line="240" w:lineRule="auto"/>
      <w:jc w:val="right"/>
    </w:pPr>
  </w:style>
  <w:style w:type="character" w:customStyle="1" w:styleId="HeaderChar">
    <w:name w:val="Header Char"/>
    <w:basedOn w:val="DefaultParagraphFont"/>
    <w:link w:val="Header"/>
    <w:uiPriority w:val="99"/>
    <w:rsid w:val="002E4A5A"/>
    <w:rPr>
      <w:noProof/>
      <w:sz w:val="20"/>
    </w:rPr>
  </w:style>
  <w:style w:type="paragraph" w:styleId="Footer">
    <w:name w:val="footer"/>
    <w:basedOn w:val="Normal"/>
    <w:link w:val="FooterChar"/>
    <w:uiPriority w:val="99"/>
    <w:rsid w:val="00D61EFE"/>
    <w:pPr>
      <w:tabs>
        <w:tab w:val="center" w:pos="4513"/>
        <w:tab w:val="right" w:pos="9026"/>
      </w:tabs>
      <w:spacing w:before="0" w:line="240" w:lineRule="auto"/>
    </w:pPr>
    <w:rPr>
      <w:color w:val="033C2D" w:themeColor="accent1"/>
      <w:sz w:val="16"/>
    </w:rPr>
  </w:style>
  <w:style w:type="character" w:customStyle="1" w:styleId="FooterChar">
    <w:name w:val="Footer Char"/>
    <w:basedOn w:val="DefaultParagraphFont"/>
    <w:link w:val="Footer"/>
    <w:uiPriority w:val="99"/>
    <w:rsid w:val="00D61EFE"/>
    <w:rPr>
      <w:noProof/>
      <w:color w:val="033C2D" w:themeColor="accent1"/>
      <w:sz w:val="16"/>
    </w:rPr>
  </w:style>
  <w:style w:type="character" w:styleId="Hyperlink">
    <w:name w:val="Hyperlink"/>
    <w:basedOn w:val="DefaultParagraphFont"/>
    <w:uiPriority w:val="99"/>
    <w:unhideWhenUsed/>
    <w:rsid w:val="002E4A5A"/>
    <w:rPr>
      <w:color w:val="4B9BFF" w:themeColor="hyperlink"/>
      <w:u w:val="single"/>
    </w:rPr>
  </w:style>
  <w:style w:type="character" w:styleId="UnresolvedMention">
    <w:name w:val="Unresolved Mention"/>
    <w:basedOn w:val="DefaultParagraphFont"/>
    <w:uiPriority w:val="99"/>
    <w:semiHidden/>
    <w:unhideWhenUsed/>
    <w:rsid w:val="002E4A5A"/>
    <w:rPr>
      <w:color w:val="605E5C"/>
      <w:shd w:val="clear" w:color="auto" w:fill="E1DFDD"/>
    </w:rPr>
  </w:style>
  <w:style w:type="table" w:customStyle="1" w:styleId="ASAtable">
    <w:name w:val="ASA table"/>
    <w:basedOn w:val="TableNormal"/>
    <w:uiPriority w:val="99"/>
    <w:rsid w:val="009966D9"/>
    <w:pPr>
      <w:spacing w:after="0" w:line="240" w:lineRule="auto"/>
    </w:pPr>
    <w:tblPr>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Pr>
    <w:tblStylePr w:type="firstRow">
      <w:pPr>
        <w:jc w:val="left"/>
      </w:pPr>
      <w:rPr>
        <w:rFonts w:asciiTheme="majorHAnsi" w:hAnsiTheme="majorHAnsi"/>
        <w:b/>
        <w:color w:val="033C2D" w:themeColor="accent1"/>
      </w:rPr>
      <w:tblPr/>
      <w:trPr>
        <w:tblHeader/>
      </w:trPr>
      <w:tcPr>
        <w:tcBorders>
          <w:top w:val="single" w:sz="2" w:space="0" w:color="FFFFFF" w:themeColor="background1"/>
          <w:left w:val="nil"/>
          <w:bottom w:val="single" w:sz="2" w:space="0" w:color="FFFFFF" w:themeColor="background1"/>
          <w:right w:val="single" w:sz="2" w:space="0" w:color="FFFFFF" w:themeColor="background1"/>
          <w:insideH w:val="nil"/>
          <w:insideV w:val="single" w:sz="2" w:space="0" w:color="FFFFFF" w:themeColor="background1"/>
          <w:tl2br w:val="nil"/>
          <w:tr2bl w:val="nil"/>
        </w:tcBorders>
        <w:shd w:val="clear" w:color="auto" w:fill="00E5A0" w:themeFill="accent2"/>
        <w:vAlign w:val="bottom"/>
      </w:tcPr>
    </w:tblStylePr>
    <w:tblStylePr w:type="lastRow">
      <w:rPr>
        <w:rFonts w:asciiTheme="majorHAnsi" w:hAnsiTheme="majorHAnsi"/>
        <w:b/>
      </w:rPr>
      <w:tblPr/>
      <w:tcPr>
        <w:tcBorders>
          <w:top w:val="single" w:sz="4" w:space="0" w:color="auto"/>
          <w:left w:val="nil"/>
          <w:bottom w:val="single" w:sz="4" w:space="0" w:color="auto"/>
          <w:right w:val="nil"/>
          <w:insideH w:val="nil"/>
          <w:insideV w:val="single" w:sz="2" w:space="0" w:color="A6A6A6" w:themeColor="background1" w:themeShade="A6"/>
          <w:tl2br w:val="nil"/>
          <w:tr2bl w:val="nil"/>
        </w:tcBorders>
      </w:tcPr>
    </w:tblStylePr>
  </w:style>
  <w:style w:type="paragraph" w:styleId="FootnoteText">
    <w:name w:val="footnote text"/>
    <w:basedOn w:val="Normal"/>
    <w:link w:val="FootnoteTextChar"/>
    <w:uiPriority w:val="99"/>
    <w:rsid w:val="000D6421"/>
    <w:pPr>
      <w:spacing w:before="0" w:line="240" w:lineRule="auto"/>
    </w:pPr>
    <w:rPr>
      <w:sz w:val="16"/>
      <w:szCs w:val="20"/>
    </w:rPr>
  </w:style>
  <w:style w:type="character" w:customStyle="1" w:styleId="FootnoteTextChar">
    <w:name w:val="Footnote Text Char"/>
    <w:basedOn w:val="DefaultParagraphFont"/>
    <w:link w:val="FootnoteText"/>
    <w:uiPriority w:val="99"/>
    <w:rsid w:val="000D6421"/>
    <w:rPr>
      <w:sz w:val="16"/>
      <w:szCs w:val="20"/>
    </w:rPr>
  </w:style>
  <w:style w:type="character" w:styleId="FootnoteReference">
    <w:name w:val="footnote reference"/>
    <w:basedOn w:val="DefaultParagraphFont"/>
    <w:uiPriority w:val="99"/>
    <w:rsid w:val="000D6421"/>
    <w:rPr>
      <w:vertAlign w:val="superscript"/>
    </w:rPr>
  </w:style>
  <w:style w:type="character" w:customStyle="1" w:styleId="Italic">
    <w:name w:val="*Italic"/>
    <w:basedOn w:val="DefaultParagraphFont"/>
    <w:uiPriority w:val="1"/>
    <w:qFormat/>
    <w:rsid w:val="00AD7D53"/>
    <w:rPr>
      <w:i/>
      <w:noProof w:val="0"/>
      <w:lang w:val="en-AU"/>
    </w:rPr>
  </w:style>
  <w:style w:type="character" w:customStyle="1" w:styleId="Superscript">
    <w:name w:val="*Superscript"/>
    <w:basedOn w:val="DefaultParagraphFont"/>
    <w:uiPriority w:val="1"/>
    <w:qFormat/>
    <w:rsid w:val="00AD7D53"/>
    <w:rPr>
      <w:noProof w:val="0"/>
      <w:vertAlign w:val="superscript"/>
      <w:lang w:val="en-AU"/>
    </w:rPr>
  </w:style>
  <w:style w:type="character" w:customStyle="1" w:styleId="Subscript">
    <w:name w:val="*Subscript"/>
    <w:basedOn w:val="DefaultParagraphFont"/>
    <w:uiPriority w:val="1"/>
    <w:qFormat/>
    <w:rsid w:val="00AD7D53"/>
    <w:rPr>
      <w:vertAlign w:val="subscript"/>
    </w:rPr>
  </w:style>
  <w:style w:type="character" w:customStyle="1" w:styleId="Allcaps">
    <w:name w:val="*All caps"/>
    <w:basedOn w:val="DefaultParagraphFont"/>
    <w:uiPriority w:val="1"/>
    <w:qFormat/>
    <w:rsid w:val="00B65321"/>
    <w:rPr>
      <w:caps/>
      <w:smallCaps w:val="0"/>
      <w:noProof w:val="0"/>
      <w:lang w:val="en-AU"/>
    </w:rPr>
  </w:style>
  <w:style w:type="paragraph" w:styleId="NoSpacing">
    <w:name w:val="No Spacing"/>
    <w:uiPriority w:val="1"/>
    <w:qFormat/>
    <w:rsid w:val="00AB7FD1"/>
    <w:pPr>
      <w:spacing w:after="0" w:line="240" w:lineRule="auto"/>
    </w:pPr>
    <w:rPr>
      <w:sz w:val="20"/>
    </w:rPr>
  </w:style>
  <w:style w:type="character" w:customStyle="1" w:styleId="Accentcolour1">
    <w:name w:val="*Accent colour 1"/>
    <w:basedOn w:val="DefaultParagraphFont"/>
    <w:uiPriority w:val="1"/>
    <w:qFormat/>
    <w:rsid w:val="00127F9D"/>
    <w:rPr>
      <w:rFonts w:asciiTheme="majorHAnsi" w:hAnsiTheme="majorHAnsi"/>
      <w:noProof w:val="0"/>
      <w:color w:val="033C2D" w:themeColor="accent1"/>
      <w:lang w:val="en-AU"/>
    </w:rPr>
  </w:style>
  <w:style w:type="character" w:customStyle="1" w:styleId="Accentcolour1bold">
    <w:name w:val="*Accent colour 1 bold"/>
    <w:basedOn w:val="Accentcolour1"/>
    <w:uiPriority w:val="1"/>
    <w:qFormat/>
    <w:rsid w:val="00127F9D"/>
    <w:rPr>
      <w:rFonts w:asciiTheme="majorHAnsi" w:hAnsiTheme="majorHAnsi"/>
      <w:b/>
      <w:noProof w:val="0"/>
      <w:color w:val="033C2D" w:themeColor="accent1"/>
      <w:lang w:val="en-AU"/>
    </w:rPr>
  </w:style>
  <w:style w:type="character" w:customStyle="1" w:styleId="Accentcolour2">
    <w:name w:val="*Accent colour 2"/>
    <w:basedOn w:val="DefaultParagraphFont"/>
    <w:uiPriority w:val="1"/>
    <w:qFormat/>
    <w:rsid w:val="00C713B4"/>
    <w:rPr>
      <w:rFonts w:asciiTheme="majorHAnsi" w:hAnsiTheme="majorHAnsi"/>
      <w:noProof w:val="0"/>
      <w:color w:val="00E5A0" w:themeColor="accent2"/>
      <w:lang w:val="en-AU"/>
    </w:rPr>
  </w:style>
  <w:style w:type="character" w:customStyle="1" w:styleId="Accentcolour2bold">
    <w:name w:val="*Accent colour 2 bold"/>
    <w:basedOn w:val="Accentcolour2"/>
    <w:uiPriority w:val="1"/>
    <w:qFormat/>
    <w:rsid w:val="00127F9D"/>
    <w:rPr>
      <w:rFonts w:asciiTheme="majorHAnsi" w:hAnsiTheme="majorHAnsi"/>
      <w:b/>
      <w:noProof w:val="0"/>
      <w:color w:val="00E5A0" w:themeColor="accent2"/>
      <w:lang w:val="en-AU"/>
    </w:rPr>
  </w:style>
  <w:style w:type="paragraph" w:styleId="ListNumber">
    <w:name w:val="List Number"/>
    <w:basedOn w:val="Normal"/>
    <w:next w:val="Normal"/>
    <w:uiPriority w:val="99"/>
    <w:rsid w:val="00E3087B"/>
    <w:pPr>
      <w:numPr>
        <w:ilvl w:val="1"/>
        <w:numId w:val="12"/>
      </w:numPr>
      <w:spacing w:after="40"/>
      <w:contextualSpacing/>
    </w:pPr>
    <w:rPr>
      <w:noProof/>
    </w:rPr>
  </w:style>
  <w:style w:type="paragraph" w:styleId="ListNumber2">
    <w:name w:val="List Number 2"/>
    <w:basedOn w:val="Normal"/>
    <w:next w:val="Normal"/>
    <w:uiPriority w:val="99"/>
    <w:rsid w:val="00AD72EC"/>
    <w:pPr>
      <w:numPr>
        <w:ilvl w:val="2"/>
        <w:numId w:val="12"/>
      </w:numPr>
      <w:tabs>
        <w:tab w:val="clear" w:pos="357"/>
      </w:tabs>
      <w:spacing w:before="80" w:after="40"/>
      <w:contextualSpacing/>
    </w:pPr>
    <w:rPr>
      <w:noProof/>
    </w:rPr>
  </w:style>
  <w:style w:type="paragraph" w:styleId="ListNumber3">
    <w:name w:val="List Number 3"/>
    <w:basedOn w:val="Normal"/>
    <w:next w:val="Normal"/>
    <w:uiPriority w:val="99"/>
    <w:rsid w:val="00376EF1"/>
    <w:pPr>
      <w:numPr>
        <w:ilvl w:val="3"/>
        <w:numId w:val="12"/>
      </w:numPr>
      <w:spacing w:before="80" w:after="40"/>
      <w:contextualSpacing/>
    </w:pPr>
  </w:style>
  <w:style w:type="paragraph" w:customStyle="1" w:styleId="NormalBeforeList">
    <w:name w:val="Normal (Before List)"/>
    <w:basedOn w:val="Signoff"/>
    <w:next w:val="ListNumber"/>
    <w:qFormat/>
    <w:rsid w:val="0002728E"/>
    <w:pPr>
      <w:numPr>
        <w:numId w:val="12"/>
      </w:numPr>
    </w:pPr>
  </w:style>
  <w:style w:type="paragraph" w:styleId="NormalIndent">
    <w:name w:val="Normal Indent"/>
    <w:basedOn w:val="Normal"/>
    <w:next w:val="Normal"/>
    <w:uiPriority w:val="99"/>
    <w:rsid w:val="00400BA8"/>
    <w:pPr>
      <w:spacing w:before="80" w:after="40"/>
      <w:ind w:left="357"/>
    </w:pPr>
    <w:rPr>
      <w:noProof/>
    </w:rPr>
  </w:style>
  <w:style w:type="paragraph" w:customStyle="1" w:styleId="NormalIndent2">
    <w:name w:val="Normal Indent 2"/>
    <w:basedOn w:val="NormalIndent"/>
    <w:next w:val="Normal"/>
    <w:qFormat/>
    <w:rsid w:val="00400BA8"/>
    <w:pPr>
      <w:ind w:left="714"/>
    </w:pPr>
  </w:style>
  <w:style w:type="paragraph" w:customStyle="1" w:styleId="NormalIndent3">
    <w:name w:val="Normal Indent 3"/>
    <w:basedOn w:val="NormalIndent"/>
    <w:next w:val="Normal"/>
    <w:qFormat/>
    <w:rsid w:val="00400BA8"/>
    <w:pPr>
      <w:ind w:left="1071"/>
    </w:pPr>
  </w:style>
  <w:style w:type="paragraph" w:styleId="Revision">
    <w:name w:val="Revision"/>
    <w:hidden/>
    <w:uiPriority w:val="99"/>
    <w:semiHidden/>
    <w:rsid w:val="002D22FA"/>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mienStraker(Operat\Downloads\ASA_Letterhead.dotx" TargetMode="External"/></Relationships>
</file>

<file path=word/theme/theme1.xml><?xml version="1.0" encoding="utf-8"?>
<a:theme xmlns:a="http://schemas.openxmlformats.org/drawingml/2006/main" name="Office Theme">
  <a:themeElements>
    <a:clrScheme name="Australian Shareholder's Association">
      <a:dk1>
        <a:sysClr val="windowText" lastClr="000000"/>
      </a:dk1>
      <a:lt1>
        <a:sysClr val="window" lastClr="FFFFFF"/>
      </a:lt1>
      <a:dk2>
        <a:srgbClr val="0E2841"/>
      </a:dk2>
      <a:lt2>
        <a:srgbClr val="E8E8E8"/>
      </a:lt2>
      <a:accent1>
        <a:srgbClr val="033C2D"/>
      </a:accent1>
      <a:accent2>
        <a:srgbClr val="00E5A0"/>
      </a:accent2>
      <a:accent3>
        <a:srgbClr val="B3F7E3"/>
      </a:accent3>
      <a:accent4>
        <a:srgbClr val="4B9BFF"/>
      </a:accent4>
      <a:accent5>
        <a:srgbClr val="95C66D"/>
      </a:accent5>
      <a:accent6>
        <a:srgbClr val="FEC751"/>
      </a:accent6>
      <a:hlink>
        <a:srgbClr val="4B9BFF"/>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ASA_Letterhead</Template>
  <TotalTime>9</TotalTime>
  <Pages>4</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 - Research</dc:creator>
  <cp:keywords/>
  <dc:description/>
  <cp:lastModifiedBy>Damien Straker (Operations)</cp:lastModifiedBy>
  <cp:revision>3</cp:revision>
  <dcterms:created xsi:type="dcterms:W3CDTF">2026-08-16T22:34:00Z</dcterms:created>
  <dcterms:modified xsi:type="dcterms:W3CDTF">2026-08-19T03:24:00Z</dcterms:modified>
</cp:coreProperties>
</file>